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6D44C" w14:textId="77777777" w:rsidR="00E62EAB" w:rsidRPr="000B3F78" w:rsidRDefault="009E4417" w:rsidP="006273F2">
      <w:pPr>
        <w:spacing w:after="0" w:line="240" w:lineRule="auto"/>
        <w:rPr>
          <w:rFonts w:ascii="Times New Roman" w:hAnsi="Times New Roman" w:cs="Times New Roman"/>
          <w:sz w:val="28"/>
          <w:szCs w:val="28"/>
        </w:rPr>
      </w:pPr>
      <w:bookmarkStart w:id="0" w:name="_GoBack"/>
      <w:bookmarkEnd w:id="0"/>
      <w:r w:rsidRPr="000B3F78">
        <w:rPr>
          <w:rFonts w:ascii="Times New Roman" w:hAnsi="Times New Roman" w:cs="Times New Roman"/>
          <w:sz w:val="28"/>
          <w:szCs w:val="28"/>
        </w:rPr>
        <w:t>УДК</w:t>
      </w:r>
      <w:r w:rsidR="00BB634E" w:rsidRPr="000B3F78">
        <w:rPr>
          <w:rFonts w:ascii="Times New Roman" w:hAnsi="Times New Roman" w:cs="Times New Roman"/>
          <w:sz w:val="28"/>
          <w:szCs w:val="28"/>
        </w:rPr>
        <w:t xml:space="preserve">  </w:t>
      </w:r>
      <w:r w:rsidR="0024205B" w:rsidRPr="000B3F78">
        <w:rPr>
          <w:rFonts w:ascii="Times New Roman" w:hAnsi="Times New Roman" w:cs="Times New Roman"/>
          <w:sz w:val="28"/>
          <w:szCs w:val="28"/>
        </w:rPr>
        <w:t>336.77</w:t>
      </w:r>
    </w:p>
    <w:p w14:paraId="415B64AA" w14:textId="77777777" w:rsidR="00FD6479" w:rsidRPr="000B3F78" w:rsidRDefault="004C558E" w:rsidP="001219AE">
      <w:pPr>
        <w:spacing w:after="0" w:line="240" w:lineRule="auto"/>
        <w:jc w:val="right"/>
        <w:rPr>
          <w:rFonts w:ascii="Times New Roman" w:hAnsi="Times New Roman" w:cs="Times New Roman"/>
          <w:sz w:val="28"/>
          <w:szCs w:val="28"/>
        </w:rPr>
      </w:pPr>
      <w:proofErr w:type="spellStart"/>
      <w:r w:rsidRPr="000B3F78">
        <w:rPr>
          <w:rFonts w:ascii="Times New Roman" w:hAnsi="Times New Roman" w:cs="Times New Roman"/>
          <w:sz w:val="28"/>
          <w:szCs w:val="28"/>
        </w:rPr>
        <w:t>Балина</w:t>
      </w:r>
      <w:proofErr w:type="spellEnd"/>
      <w:r w:rsidR="00112D1E" w:rsidRPr="000B3F78">
        <w:rPr>
          <w:rFonts w:ascii="Times New Roman" w:hAnsi="Times New Roman" w:cs="Times New Roman"/>
          <w:sz w:val="28"/>
          <w:szCs w:val="28"/>
        </w:rPr>
        <w:t xml:space="preserve"> Екатерина Евгеньевна</w:t>
      </w:r>
    </w:p>
    <w:p w14:paraId="6A31ADBD" w14:textId="77777777" w:rsidR="00FD6479" w:rsidRPr="000B3F78" w:rsidRDefault="00FD6479" w:rsidP="001219AE">
      <w:pPr>
        <w:spacing w:after="0" w:line="240" w:lineRule="auto"/>
        <w:jc w:val="right"/>
        <w:rPr>
          <w:rFonts w:ascii="Times New Roman" w:hAnsi="Times New Roman" w:cs="Times New Roman"/>
          <w:sz w:val="28"/>
          <w:szCs w:val="28"/>
        </w:rPr>
      </w:pPr>
      <w:proofErr w:type="spellStart"/>
      <w:r w:rsidRPr="000B3F78">
        <w:rPr>
          <w:rFonts w:ascii="Times New Roman" w:hAnsi="Times New Roman" w:cs="Times New Roman"/>
          <w:sz w:val="28"/>
          <w:szCs w:val="28"/>
          <w:lang w:val="en-US"/>
        </w:rPr>
        <w:t>Balina</w:t>
      </w:r>
      <w:proofErr w:type="spellEnd"/>
      <w:r w:rsidRPr="000B3F78">
        <w:rPr>
          <w:rFonts w:ascii="Times New Roman" w:hAnsi="Times New Roman" w:cs="Times New Roman"/>
          <w:sz w:val="28"/>
          <w:szCs w:val="28"/>
        </w:rPr>
        <w:t xml:space="preserve"> </w:t>
      </w:r>
      <w:r w:rsidRPr="000B3F78">
        <w:rPr>
          <w:rFonts w:ascii="Times New Roman" w:hAnsi="Times New Roman" w:cs="Times New Roman"/>
          <w:sz w:val="28"/>
          <w:szCs w:val="28"/>
          <w:lang w:val="en-US"/>
        </w:rPr>
        <w:t>Ekaterina</w:t>
      </w:r>
      <w:r w:rsidRPr="000B3F78">
        <w:rPr>
          <w:rFonts w:ascii="Times New Roman" w:hAnsi="Times New Roman" w:cs="Times New Roman"/>
          <w:sz w:val="28"/>
          <w:szCs w:val="28"/>
        </w:rPr>
        <w:t xml:space="preserve"> </w:t>
      </w:r>
      <w:proofErr w:type="spellStart"/>
      <w:r w:rsidRPr="000B3F78">
        <w:rPr>
          <w:rFonts w:ascii="Times New Roman" w:hAnsi="Times New Roman" w:cs="Times New Roman"/>
          <w:sz w:val="28"/>
          <w:szCs w:val="28"/>
          <w:lang w:val="en-US"/>
        </w:rPr>
        <w:t>Evgienievna</w:t>
      </w:r>
      <w:proofErr w:type="spellEnd"/>
      <w:r w:rsidR="004C558E" w:rsidRPr="000B3F78">
        <w:rPr>
          <w:rFonts w:ascii="Times New Roman" w:hAnsi="Times New Roman" w:cs="Times New Roman"/>
          <w:sz w:val="28"/>
          <w:szCs w:val="28"/>
        </w:rPr>
        <w:t xml:space="preserve"> </w:t>
      </w:r>
    </w:p>
    <w:p w14:paraId="0EE31FA7" w14:textId="77777777" w:rsidR="001219AE" w:rsidRPr="000B3F78" w:rsidRDefault="00FD6479" w:rsidP="001219AE">
      <w:pPr>
        <w:spacing w:after="0" w:line="240" w:lineRule="auto"/>
        <w:jc w:val="right"/>
        <w:rPr>
          <w:rFonts w:ascii="Times New Roman" w:hAnsi="Times New Roman" w:cs="Times New Roman"/>
          <w:sz w:val="28"/>
          <w:szCs w:val="28"/>
        </w:rPr>
      </w:pPr>
      <w:r w:rsidRPr="000B3F78">
        <w:rPr>
          <w:rFonts w:ascii="Times New Roman" w:hAnsi="Times New Roman" w:cs="Times New Roman"/>
          <w:sz w:val="28"/>
          <w:szCs w:val="28"/>
        </w:rPr>
        <w:t xml:space="preserve">студент, </w:t>
      </w:r>
      <w:r w:rsidR="001219AE" w:rsidRPr="000B3F78">
        <w:rPr>
          <w:rFonts w:ascii="Times New Roman" w:hAnsi="Times New Roman" w:cs="Times New Roman"/>
          <w:sz w:val="28"/>
          <w:szCs w:val="28"/>
        </w:rPr>
        <w:t>Иркутский государственный университет путей сообщения, г. Иркутск</w:t>
      </w:r>
    </w:p>
    <w:p w14:paraId="3A42040A" w14:textId="77777777" w:rsidR="00FD6479" w:rsidRPr="000B3F78" w:rsidRDefault="00FD6479" w:rsidP="00FD6479">
      <w:pPr>
        <w:spacing w:after="0" w:line="240" w:lineRule="auto"/>
        <w:jc w:val="right"/>
        <w:rPr>
          <w:rFonts w:ascii="Times New Roman" w:hAnsi="Times New Roman" w:cs="Times New Roman"/>
          <w:sz w:val="28"/>
          <w:szCs w:val="28"/>
          <w:lang w:val="en-US"/>
        </w:rPr>
      </w:pPr>
      <w:r w:rsidRPr="000B3F78">
        <w:rPr>
          <w:rFonts w:ascii="Times New Roman" w:hAnsi="Times New Roman" w:cs="Times New Roman"/>
          <w:sz w:val="28"/>
          <w:szCs w:val="28"/>
          <w:lang w:val="en-US"/>
        </w:rPr>
        <w:t>student, Irkutsk State University of Railway Transport, Irkutsk</w:t>
      </w:r>
    </w:p>
    <w:p w14:paraId="11A1BA38" w14:textId="77777777" w:rsidR="00644C10" w:rsidRPr="000B3F78" w:rsidRDefault="00644C10" w:rsidP="004C558E">
      <w:pPr>
        <w:spacing w:after="0" w:line="240" w:lineRule="auto"/>
        <w:jc w:val="right"/>
        <w:rPr>
          <w:rFonts w:ascii="Times New Roman" w:hAnsi="Times New Roman" w:cs="Times New Roman"/>
          <w:sz w:val="28"/>
          <w:szCs w:val="28"/>
        </w:rPr>
      </w:pPr>
      <w:r w:rsidRPr="000B3F78">
        <w:rPr>
          <w:rFonts w:ascii="Times New Roman" w:hAnsi="Times New Roman" w:cs="Times New Roman"/>
          <w:sz w:val="28"/>
          <w:szCs w:val="28"/>
        </w:rPr>
        <w:t>т.89500</w:t>
      </w:r>
      <w:r w:rsidR="00FD6479" w:rsidRPr="000B3F78">
        <w:rPr>
          <w:rFonts w:ascii="Times New Roman" w:hAnsi="Times New Roman" w:cs="Times New Roman"/>
          <w:sz w:val="28"/>
          <w:szCs w:val="28"/>
        </w:rPr>
        <w:t>6</w:t>
      </w:r>
      <w:r w:rsidRPr="000B3F78">
        <w:rPr>
          <w:rFonts w:ascii="Times New Roman" w:hAnsi="Times New Roman" w:cs="Times New Roman"/>
          <w:sz w:val="28"/>
          <w:szCs w:val="28"/>
        </w:rPr>
        <w:t>26421</w:t>
      </w:r>
      <w:r w:rsidR="00FD6479" w:rsidRPr="000B3F78">
        <w:rPr>
          <w:rFonts w:ascii="Times New Roman" w:hAnsi="Times New Roman" w:cs="Times New Roman"/>
          <w:sz w:val="28"/>
          <w:szCs w:val="28"/>
        </w:rPr>
        <w:t xml:space="preserve">, </w:t>
      </w:r>
      <w:proofErr w:type="spellStart"/>
      <w:r w:rsidRPr="000B3F78">
        <w:rPr>
          <w:rFonts w:ascii="Times New Roman" w:hAnsi="Times New Roman" w:cs="Times New Roman"/>
          <w:sz w:val="28"/>
          <w:szCs w:val="28"/>
          <w:lang w:val="en-US"/>
        </w:rPr>
        <w:t>balinac</w:t>
      </w:r>
      <w:proofErr w:type="spellEnd"/>
      <w:r w:rsidRPr="000B3F78">
        <w:rPr>
          <w:rFonts w:ascii="Times New Roman" w:hAnsi="Times New Roman" w:cs="Times New Roman"/>
          <w:sz w:val="28"/>
          <w:szCs w:val="28"/>
        </w:rPr>
        <w:t>@</w:t>
      </w:r>
      <w:proofErr w:type="spellStart"/>
      <w:r w:rsidRPr="000B3F78">
        <w:rPr>
          <w:rFonts w:ascii="Times New Roman" w:hAnsi="Times New Roman" w:cs="Times New Roman"/>
          <w:sz w:val="28"/>
          <w:szCs w:val="28"/>
          <w:lang w:val="en-US"/>
        </w:rPr>
        <w:t>ya</w:t>
      </w:r>
      <w:proofErr w:type="spellEnd"/>
      <w:r w:rsidRPr="000B3F78">
        <w:rPr>
          <w:rFonts w:ascii="Times New Roman" w:hAnsi="Times New Roman" w:cs="Times New Roman"/>
          <w:sz w:val="28"/>
          <w:szCs w:val="28"/>
        </w:rPr>
        <w:t>.</w:t>
      </w:r>
      <w:proofErr w:type="spellStart"/>
      <w:r w:rsidRPr="000B3F78">
        <w:rPr>
          <w:rFonts w:ascii="Times New Roman" w:hAnsi="Times New Roman" w:cs="Times New Roman"/>
          <w:sz w:val="28"/>
          <w:szCs w:val="28"/>
          <w:lang w:val="en-US"/>
        </w:rPr>
        <w:t>ru</w:t>
      </w:r>
      <w:proofErr w:type="spellEnd"/>
    </w:p>
    <w:p w14:paraId="0471ADDF" w14:textId="77777777" w:rsidR="00FD6479" w:rsidRPr="000B3F78" w:rsidRDefault="004C558E" w:rsidP="004335C4">
      <w:pPr>
        <w:spacing w:after="0" w:line="240" w:lineRule="auto"/>
        <w:jc w:val="right"/>
        <w:rPr>
          <w:rFonts w:ascii="Times New Roman" w:hAnsi="Times New Roman" w:cs="Times New Roman"/>
          <w:sz w:val="28"/>
          <w:szCs w:val="28"/>
        </w:rPr>
      </w:pPr>
      <w:r w:rsidRPr="000B3F78">
        <w:rPr>
          <w:rFonts w:ascii="Times New Roman" w:hAnsi="Times New Roman" w:cs="Times New Roman"/>
          <w:sz w:val="28"/>
          <w:szCs w:val="28"/>
        </w:rPr>
        <w:t>Яковлева</w:t>
      </w:r>
      <w:r w:rsidR="00FD6479" w:rsidRPr="000B3F78">
        <w:rPr>
          <w:rFonts w:ascii="Times New Roman" w:hAnsi="Times New Roman" w:cs="Times New Roman"/>
          <w:sz w:val="28"/>
          <w:szCs w:val="28"/>
        </w:rPr>
        <w:t xml:space="preserve"> Нина Валерьевна</w:t>
      </w:r>
      <w:r w:rsidR="00644C10" w:rsidRPr="000B3F78">
        <w:rPr>
          <w:rFonts w:ascii="Times New Roman" w:hAnsi="Times New Roman" w:cs="Times New Roman"/>
          <w:sz w:val="28"/>
          <w:szCs w:val="28"/>
        </w:rPr>
        <w:t xml:space="preserve"> </w:t>
      </w:r>
    </w:p>
    <w:p w14:paraId="1827E7FB" w14:textId="77777777" w:rsidR="004335C4" w:rsidRPr="000B3F78" w:rsidRDefault="00644C10" w:rsidP="004335C4">
      <w:pPr>
        <w:spacing w:after="0" w:line="240" w:lineRule="auto"/>
        <w:jc w:val="right"/>
        <w:rPr>
          <w:rFonts w:ascii="Times New Roman" w:hAnsi="Times New Roman" w:cs="Times New Roman"/>
          <w:sz w:val="28"/>
          <w:szCs w:val="28"/>
        </w:rPr>
      </w:pPr>
      <w:r w:rsidRPr="000B3F78">
        <w:rPr>
          <w:rFonts w:ascii="Times New Roman" w:hAnsi="Times New Roman" w:cs="Times New Roman"/>
          <w:sz w:val="28"/>
          <w:szCs w:val="28"/>
        </w:rPr>
        <w:t>доцент к.э.н.</w:t>
      </w:r>
      <w:r w:rsidR="00FD6479" w:rsidRPr="000B3F78">
        <w:rPr>
          <w:rFonts w:ascii="Times New Roman" w:hAnsi="Times New Roman" w:cs="Times New Roman"/>
          <w:sz w:val="28"/>
          <w:szCs w:val="28"/>
        </w:rPr>
        <w:t>, Иркутский государственный университет путей сообщения, г. Иркутск</w:t>
      </w:r>
      <w:r w:rsidRPr="000B3F78">
        <w:rPr>
          <w:rFonts w:ascii="Times New Roman" w:hAnsi="Times New Roman" w:cs="Times New Roman"/>
          <w:sz w:val="28"/>
          <w:szCs w:val="28"/>
        </w:rPr>
        <w:t xml:space="preserve"> </w:t>
      </w:r>
    </w:p>
    <w:p w14:paraId="4DFB42DA" w14:textId="77777777" w:rsidR="009C46E8" w:rsidRPr="000B3F78" w:rsidRDefault="00FD6479" w:rsidP="009C46E8">
      <w:pPr>
        <w:spacing w:after="0" w:line="240" w:lineRule="auto"/>
        <w:jc w:val="right"/>
        <w:rPr>
          <w:rFonts w:ascii="Times New Roman" w:hAnsi="Times New Roman" w:cs="Times New Roman"/>
          <w:sz w:val="28"/>
          <w:szCs w:val="28"/>
          <w:lang w:val="en-US"/>
        </w:rPr>
      </w:pPr>
      <w:r w:rsidRPr="000B3F78">
        <w:rPr>
          <w:rFonts w:ascii="Times New Roman" w:hAnsi="Times New Roman" w:cs="Times New Roman"/>
          <w:sz w:val="28"/>
          <w:szCs w:val="28"/>
          <w:lang w:val="en-US"/>
        </w:rPr>
        <w:t xml:space="preserve">Associate Professor, Ph. D. in Economics, </w:t>
      </w:r>
      <w:r w:rsidR="009C46E8" w:rsidRPr="000B3F78">
        <w:rPr>
          <w:rFonts w:ascii="Times New Roman" w:hAnsi="Times New Roman" w:cs="Times New Roman"/>
          <w:sz w:val="28"/>
          <w:szCs w:val="28"/>
          <w:lang w:val="en-US"/>
        </w:rPr>
        <w:t>Irkutsk State University of Railway Transport, Irkutsk</w:t>
      </w:r>
    </w:p>
    <w:p w14:paraId="3B4087A7" w14:textId="77777777" w:rsidR="00FD6479" w:rsidRPr="000B3F78" w:rsidRDefault="00FD6479" w:rsidP="009C46E8">
      <w:pPr>
        <w:spacing w:after="0" w:line="240" w:lineRule="auto"/>
        <w:jc w:val="right"/>
        <w:rPr>
          <w:rFonts w:ascii="Times New Roman" w:hAnsi="Times New Roman" w:cs="Times New Roman"/>
          <w:sz w:val="28"/>
          <w:szCs w:val="28"/>
          <w:lang w:val="en-US"/>
        </w:rPr>
      </w:pPr>
      <w:r w:rsidRPr="000B3F78">
        <w:rPr>
          <w:rFonts w:ascii="Times New Roman" w:hAnsi="Times New Roman" w:cs="Times New Roman"/>
          <w:sz w:val="28"/>
          <w:szCs w:val="28"/>
        </w:rPr>
        <w:t>т</w:t>
      </w:r>
      <w:r w:rsidRPr="000B3F78">
        <w:rPr>
          <w:rFonts w:ascii="Times New Roman" w:hAnsi="Times New Roman" w:cs="Times New Roman"/>
          <w:sz w:val="28"/>
          <w:szCs w:val="28"/>
          <w:lang w:val="en-US"/>
        </w:rPr>
        <w:t>.891415814</w:t>
      </w:r>
      <w:r w:rsidR="00CB49C7" w:rsidRPr="00CB49C7">
        <w:rPr>
          <w:rFonts w:ascii="Times New Roman" w:hAnsi="Times New Roman" w:cs="Times New Roman"/>
          <w:sz w:val="28"/>
          <w:szCs w:val="28"/>
          <w:lang w:val="en-US"/>
        </w:rPr>
        <w:t>02</w:t>
      </w:r>
      <w:r w:rsidRPr="000B3F78">
        <w:rPr>
          <w:rFonts w:ascii="Times New Roman" w:hAnsi="Times New Roman" w:cs="Times New Roman"/>
          <w:sz w:val="28"/>
          <w:szCs w:val="28"/>
          <w:lang w:val="en-US"/>
        </w:rPr>
        <w:t>, yako.n.fbu@mail.ru</w:t>
      </w:r>
    </w:p>
    <w:p w14:paraId="35A0DF12" w14:textId="77777777" w:rsidR="00FD6479" w:rsidRPr="000B3F78" w:rsidRDefault="00FD6479" w:rsidP="006273F2">
      <w:pPr>
        <w:spacing w:after="0" w:line="240" w:lineRule="auto"/>
        <w:jc w:val="center"/>
        <w:rPr>
          <w:rFonts w:ascii="Times New Roman" w:hAnsi="Times New Roman" w:cs="Times New Roman"/>
          <w:b/>
          <w:sz w:val="28"/>
          <w:szCs w:val="28"/>
          <w:lang w:val="en-US"/>
        </w:rPr>
      </w:pPr>
    </w:p>
    <w:p w14:paraId="779A815D" w14:textId="77777777" w:rsidR="009E4417" w:rsidRDefault="007E1323" w:rsidP="006273F2">
      <w:pPr>
        <w:spacing w:after="0" w:line="240" w:lineRule="auto"/>
        <w:jc w:val="center"/>
        <w:rPr>
          <w:rFonts w:ascii="Times New Roman" w:hAnsi="Times New Roman" w:cs="Times New Roman"/>
          <w:b/>
          <w:caps/>
          <w:sz w:val="28"/>
          <w:szCs w:val="28"/>
        </w:rPr>
      </w:pPr>
      <w:r w:rsidRPr="000B3F78">
        <w:rPr>
          <w:rFonts w:ascii="Times New Roman" w:hAnsi="Times New Roman" w:cs="Times New Roman"/>
          <w:b/>
          <w:sz w:val="28"/>
          <w:szCs w:val="28"/>
        </w:rPr>
        <w:t xml:space="preserve">РАЗВИТИЕ </w:t>
      </w:r>
      <w:r w:rsidR="000B1CFE" w:rsidRPr="000B3F78">
        <w:rPr>
          <w:rFonts w:ascii="Times New Roman" w:hAnsi="Times New Roman" w:cs="Times New Roman"/>
          <w:b/>
          <w:sz w:val="28"/>
          <w:szCs w:val="28"/>
        </w:rPr>
        <w:t xml:space="preserve">БАНКОВСКОГО КРЕДИТОВАНИЯ МАЛОГО И СРЕДНЕГО БИЗНЕСА В </w:t>
      </w:r>
      <w:r w:rsidR="000B1CFE" w:rsidRPr="000B3F78">
        <w:rPr>
          <w:rFonts w:ascii="Times New Roman" w:hAnsi="Times New Roman" w:cs="Times New Roman"/>
          <w:b/>
          <w:caps/>
          <w:sz w:val="28"/>
          <w:szCs w:val="28"/>
        </w:rPr>
        <w:t>РОССИИ</w:t>
      </w:r>
      <w:r w:rsidRPr="000B3F78">
        <w:rPr>
          <w:rFonts w:ascii="Times New Roman" w:hAnsi="Times New Roman" w:cs="Times New Roman"/>
          <w:b/>
          <w:caps/>
          <w:sz w:val="28"/>
          <w:szCs w:val="28"/>
        </w:rPr>
        <w:t xml:space="preserve"> </w:t>
      </w:r>
      <w:r w:rsidR="00934F41" w:rsidRPr="000B3F78">
        <w:rPr>
          <w:rFonts w:ascii="Times New Roman" w:hAnsi="Times New Roman" w:cs="Times New Roman"/>
          <w:b/>
          <w:caps/>
          <w:sz w:val="28"/>
          <w:szCs w:val="28"/>
        </w:rPr>
        <w:t>на современном этапе</w:t>
      </w:r>
    </w:p>
    <w:p w14:paraId="7D61C617" w14:textId="77777777" w:rsidR="006273F2" w:rsidRPr="004A7B4F" w:rsidRDefault="009C46E8" w:rsidP="0031203C">
      <w:pPr>
        <w:spacing w:after="0" w:line="240" w:lineRule="auto"/>
        <w:jc w:val="center"/>
        <w:rPr>
          <w:rFonts w:ascii="Times New Roman" w:hAnsi="Times New Roman" w:cs="Times New Roman"/>
          <w:b/>
          <w:sz w:val="28"/>
          <w:szCs w:val="28"/>
          <w:lang w:val="en-US"/>
        </w:rPr>
      </w:pPr>
      <w:r w:rsidRPr="000B3F78">
        <w:rPr>
          <w:rFonts w:ascii="Times New Roman" w:hAnsi="Times New Roman" w:cs="Times New Roman"/>
          <w:b/>
          <w:sz w:val="28"/>
          <w:szCs w:val="28"/>
          <w:lang w:val="en-US"/>
        </w:rPr>
        <w:t>DEVELOPMENT OF BANK LENDING TO SMALL AND MEDIUM-SIZED BUSINESSES IN RUSSIA AT THE PRESENT STAGE</w:t>
      </w:r>
    </w:p>
    <w:p w14:paraId="2AF9638E" w14:textId="77777777" w:rsidR="004F494D" w:rsidRPr="000B3F78" w:rsidRDefault="007E1323" w:rsidP="004F494D">
      <w:pPr>
        <w:spacing w:after="0" w:line="240" w:lineRule="auto"/>
        <w:ind w:firstLine="708"/>
        <w:jc w:val="both"/>
        <w:rPr>
          <w:rFonts w:ascii="Times New Roman" w:hAnsi="Times New Roman" w:cs="Times New Roman"/>
          <w:color w:val="000000"/>
          <w:sz w:val="28"/>
          <w:szCs w:val="28"/>
        </w:rPr>
      </w:pPr>
      <w:r w:rsidRPr="000B3F78">
        <w:rPr>
          <w:rFonts w:ascii="Times New Roman" w:hAnsi="Times New Roman" w:cs="Times New Roman"/>
          <w:b/>
          <w:sz w:val="28"/>
          <w:szCs w:val="28"/>
        </w:rPr>
        <w:t>Аннотация.</w:t>
      </w:r>
      <w:r w:rsidR="006E0B6C" w:rsidRPr="000B3F78">
        <w:rPr>
          <w:rFonts w:ascii="Times New Roman" w:hAnsi="Times New Roman" w:cs="Times New Roman"/>
          <w:sz w:val="28"/>
          <w:szCs w:val="28"/>
        </w:rPr>
        <w:t xml:space="preserve"> В</w:t>
      </w:r>
      <w:r w:rsidR="00820273" w:rsidRPr="000B3F78">
        <w:rPr>
          <w:rFonts w:ascii="Times New Roman" w:hAnsi="Times New Roman" w:cs="Times New Roman"/>
          <w:sz w:val="28"/>
          <w:szCs w:val="28"/>
        </w:rPr>
        <w:t xml:space="preserve"> данной</w:t>
      </w:r>
      <w:r w:rsidR="006E0B6C" w:rsidRPr="000B3F78">
        <w:rPr>
          <w:rFonts w:ascii="Times New Roman" w:hAnsi="Times New Roman" w:cs="Times New Roman"/>
          <w:sz w:val="28"/>
          <w:szCs w:val="28"/>
        </w:rPr>
        <w:t xml:space="preserve"> статье рассмотрены </w:t>
      </w:r>
      <w:r w:rsidR="006273F2" w:rsidRPr="000B3F78">
        <w:rPr>
          <w:rFonts w:ascii="Times New Roman" w:hAnsi="Times New Roman" w:cs="Times New Roman"/>
          <w:sz w:val="28"/>
          <w:szCs w:val="28"/>
        </w:rPr>
        <w:t xml:space="preserve">актуальные аспекты </w:t>
      </w:r>
      <w:r w:rsidR="001219AE" w:rsidRPr="000B3F78">
        <w:rPr>
          <w:rFonts w:ascii="Times New Roman" w:hAnsi="Times New Roman" w:cs="Times New Roman"/>
          <w:sz w:val="28"/>
          <w:szCs w:val="28"/>
        </w:rPr>
        <w:t>развития</w:t>
      </w:r>
      <w:r w:rsidR="00785146" w:rsidRPr="000B3F78">
        <w:rPr>
          <w:rFonts w:ascii="Times New Roman" w:hAnsi="Times New Roman" w:cs="Times New Roman"/>
          <w:sz w:val="28"/>
          <w:szCs w:val="28"/>
        </w:rPr>
        <w:t xml:space="preserve"> </w:t>
      </w:r>
      <w:r w:rsidR="00673C83" w:rsidRPr="000B3F78">
        <w:rPr>
          <w:rFonts w:ascii="Times New Roman" w:hAnsi="Times New Roman" w:cs="Times New Roman"/>
          <w:sz w:val="28"/>
          <w:szCs w:val="28"/>
        </w:rPr>
        <w:t>банковского кредитования малого и среднего бизнеса</w:t>
      </w:r>
      <w:r w:rsidR="006273F2" w:rsidRPr="000B3F78">
        <w:rPr>
          <w:rFonts w:ascii="Times New Roman" w:hAnsi="Times New Roman" w:cs="Times New Roman"/>
          <w:sz w:val="28"/>
          <w:szCs w:val="28"/>
        </w:rPr>
        <w:t xml:space="preserve"> в</w:t>
      </w:r>
      <w:r w:rsidR="00673C83" w:rsidRPr="000B3F78">
        <w:rPr>
          <w:rFonts w:ascii="Times New Roman" w:hAnsi="Times New Roman" w:cs="Times New Roman"/>
          <w:sz w:val="28"/>
          <w:szCs w:val="28"/>
        </w:rPr>
        <w:t xml:space="preserve"> современной</w:t>
      </w:r>
      <w:r w:rsidR="006273F2" w:rsidRPr="000B3F78">
        <w:rPr>
          <w:rFonts w:ascii="Times New Roman" w:hAnsi="Times New Roman" w:cs="Times New Roman"/>
          <w:sz w:val="28"/>
          <w:szCs w:val="28"/>
        </w:rPr>
        <w:t xml:space="preserve"> России: </w:t>
      </w:r>
      <w:r w:rsidR="00FD6479" w:rsidRPr="000B3F78">
        <w:rPr>
          <w:rFonts w:ascii="Times New Roman" w:hAnsi="Times New Roman" w:cs="Times New Roman"/>
          <w:sz w:val="28"/>
          <w:szCs w:val="28"/>
        </w:rPr>
        <w:t>проанализирован</w:t>
      </w:r>
      <w:r w:rsidR="000B3F78">
        <w:rPr>
          <w:rFonts w:ascii="Times New Roman" w:hAnsi="Times New Roman" w:cs="Times New Roman"/>
          <w:sz w:val="28"/>
          <w:szCs w:val="28"/>
        </w:rPr>
        <w:t>а</w:t>
      </w:r>
      <w:r w:rsidR="00FD6479" w:rsidRPr="000B3F78">
        <w:rPr>
          <w:rFonts w:ascii="Times New Roman" w:hAnsi="Times New Roman" w:cs="Times New Roman"/>
          <w:sz w:val="28"/>
          <w:szCs w:val="28"/>
        </w:rPr>
        <w:t xml:space="preserve"> </w:t>
      </w:r>
      <w:r w:rsidR="000C73C2" w:rsidRPr="000B3F78">
        <w:rPr>
          <w:rFonts w:ascii="Times New Roman" w:hAnsi="Times New Roman" w:cs="Times New Roman"/>
          <w:sz w:val="28"/>
          <w:szCs w:val="28"/>
        </w:rPr>
        <w:t>структура кредитного портфеля малого и среднего предпринимательства</w:t>
      </w:r>
      <w:r w:rsidR="004F494D" w:rsidRPr="000B3F78">
        <w:rPr>
          <w:rFonts w:ascii="Times New Roman" w:hAnsi="Times New Roman" w:cs="Times New Roman"/>
          <w:sz w:val="28"/>
          <w:szCs w:val="28"/>
        </w:rPr>
        <w:t xml:space="preserve"> по видам деятельности. На основе анализа статистической информации объемов кредитования, динамики процентных ставок и величины просроченной задолженности рассмотрены</w:t>
      </w:r>
      <w:r w:rsidR="00BC53B8" w:rsidRPr="000B3F78">
        <w:rPr>
          <w:rFonts w:ascii="Times New Roman" w:hAnsi="Times New Roman" w:cs="Times New Roman"/>
          <w:color w:val="000000"/>
          <w:sz w:val="28"/>
          <w:szCs w:val="28"/>
        </w:rPr>
        <w:t xml:space="preserve"> современные тенденции </w:t>
      </w:r>
      <w:r w:rsidR="00CB560B" w:rsidRPr="000B3F78">
        <w:rPr>
          <w:rFonts w:ascii="Times New Roman" w:hAnsi="Times New Roman" w:cs="Times New Roman"/>
          <w:color w:val="000000"/>
          <w:sz w:val="28"/>
          <w:szCs w:val="28"/>
        </w:rPr>
        <w:t>кредитования</w:t>
      </w:r>
      <w:r w:rsidR="004F494D" w:rsidRPr="000B3F78">
        <w:rPr>
          <w:rFonts w:ascii="Times New Roman" w:hAnsi="Times New Roman" w:cs="Times New Roman"/>
          <w:color w:val="000000"/>
          <w:sz w:val="28"/>
          <w:szCs w:val="28"/>
        </w:rPr>
        <w:t>.</w:t>
      </w:r>
      <w:r w:rsidR="00BC53B8" w:rsidRPr="000B3F78">
        <w:rPr>
          <w:rFonts w:ascii="Times New Roman" w:hAnsi="Times New Roman" w:cs="Times New Roman"/>
          <w:color w:val="000000"/>
          <w:sz w:val="28"/>
          <w:szCs w:val="28"/>
        </w:rPr>
        <w:t xml:space="preserve"> </w:t>
      </w:r>
      <w:r w:rsidR="004F494D" w:rsidRPr="000B3F78">
        <w:rPr>
          <w:rFonts w:ascii="Times New Roman" w:hAnsi="Times New Roman" w:cs="Times New Roman"/>
          <w:color w:val="000000"/>
          <w:sz w:val="28"/>
          <w:szCs w:val="28"/>
        </w:rPr>
        <w:t>О</w:t>
      </w:r>
      <w:r w:rsidR="00BC53B8" w:rsidRPr="000B3F78">
        <w:rPr>
          <w:rFonts w:ascii="Times New Roman" w:hAnsi="Times New Roman" w:cs="Times New Roman"/>
          <w:color w:val="000000"/>
          <w:sz w:val="28"/>
          <w:szCs w:val="28"/>
        </w:rPr>
        <w:t xml:space="preserve">пределены </w:t>
      </w:r>
      <w:r w:rsidR="00934F41" w:rsidRPr="000B3F78">
        <w:rPr>
          <w:rFonts w:ascii="Times New Roman" w:hAnsi="Times New Roman" w:cs="Times New Roman"/>
          <w:color w:val="000000"/>
          <w:sz w:val="28"/>
          <w:szCs w:val="28"/>
        </w:rPr>
        <w:t>особенности</w:t>
      </w:r>
      <w:r w:rsidR="00000EE8" w:rsidRPr="000B3F78">
        <w:rPr>
          <w:rFonts w:ascii="Times New Roman" w:hAnsi="Times New Roman" w:cs="Times New Roman"/>
          <w:color w:val="000000"/>
          <w:sz w:val="28"/>
          <w:szCs w:val="28"/>
        </w:rPr>
        <w:t xml:space="preserve"> кредитования малого и среднего бизнеса</w:t>
      </w:r>
      <w:r w:rsidR="00BC53B8" w:rsidRPr="000B3F78">
        <w:rPr>
          <w:rFonts w:ascii="Times New Roman" w:hAnsi="Times New Roman" w:cs="Times New Roman"/>
          <w:color w:val="000000"/>
          <w:sz w:val="28"/>
          <w:szCs w:val="28"/>
        </w:rPr>
        <w:t xml:space="preserve">, </w:t>
      </w:r>
      <w:r w:rsidR="00892043" w:rsidRPr="000B3F78">
        <w:rPr>
          <w:rFonts w:ascii="Times New Roman" w:hAnsi="Times New Roman" w:cs="Times New Roman"/>
          <w:color w:val="000000"/>
          <w:sz w:val="28"/>
          <w:szCs w:val="28"/>
        </w:rPr>
        <w:t xml:space="preserve">а также </w:t>
      </w:r>
      <w:r w:rsidR="00820273" w:rsidRPr="000B3F78">
        <w:rPr>
          <w:rFonts w:ascii="Times New Roman" w:hAnsi="Times New Roman" w:cs="Times New Roman"/>
          <w:color w:val="000000"/>
          <w:sz w:val="28"/>
          <w:szCs w:val="28"/>
        </w:rPr>
        <w:t>риски</w:t>
      </w:r>
      <w:r w:rsidR="00892043" w:rsidRPr="000B3F78">
        <w:rPr>
          <w:rFonts w:ascii="Times New Roman" w:hAnsi="Times New Roman" w:cs="Times New Roman"/>
          <w:color w:val="000000"/>
          <w:sz w:val="28"/>
          <w:szCs w:val="28"/>
        </w:rPr>
        <w:t xml:space="preserve"> современной системы кредитования </w:t>
      </w:r>
      <w:r w:rsidR="00785146" w:rsidRPr="000B3F78">
        <w:rPr>
          <w:rFonts w:ascii="Times New Roman" w:hAnsi="Times New Roman" w:cs="Times New Roman"/>
          <w:color w:val="000000"/>
          <w:sz w:val="28"/>
          <w:szCs w:val="28"/>
        </w:rPr>
        <w:t>данного сектора</w:t>
      </w:r>
      <w:r w:rsidR="00892043" w:rsidRPr="000B3F78">
        <w:rPr>
          <w:rFonts w:ascii="Times New Roman" w:hAnsi="Times New Roman" w:cs="Times New Roman"/>
          <w:color w:val="000000"/>
          <w:sz w:val="28"/>
          <w:szCs w:val="28"/>
        </w:rPr>
        <w:t>.</w:t>
      </w:r>
      <w:r w:rsidR="00112D1E" w:rsidRPr="000B3F78">
        <w:rPr>
          <w:rFonts w:ascii="Times New Roman" w:hAnsi="Times New Roman" w:cs="Times New Roman"/>
          <w:color w:val="000000"/>
          <w:sz w:val="28"/>
          <w:szCs w:val="28"/>
        </w:rPr>
        <w:t xml:space="preserve"> По результатам исследования выделены современные тенденции развития и проблемы развития кредитования таких заемщиков. Предложены направления решения проблем.</w:t>
      </w:r>
    </w:p>
    <w:p w14:paraId="3C6D1A86" w14:textId="77777777" w:rsidR="007E1323" w:rsidRPr="000B3F78" w:rsidRDefault="007E1323" w:rsidP="004F494D">
      <w:pPr>
        <w:spacing w:after="0" w:line="240" w:lineRule="auto"/>
        <w:ind w:firstLine="708"/>
        <w:jc w:val="both"/>
        <w:rPr>
          <w:rFonts w:ascii="Times New Roman" w:hAnsi="Times New Roman" w:cs="Times New Roman"/>
          <w:sz w:val="28"/>
          <w:szCs w:val="28"/>
        </w:rPr>
      </w:pPr>
      <w:r w:rsidRPr="000B3F78">
        <w:rPr>
          <w:rFonts w:ascii="Times New Roman" w:hAnsi="Times New Roman" w:cs="Times New Roman"/>
          <w:b/>
          <w:sz w:val="28"/>
          <w:szCs w:val="28"/>
        </w:rPr>
        <w:t>Ключевые слова:</w:t>
      </w:r>
      <w:r w:rsidR="009950D1" w:rsidRPr="000B3F78">
        <w:rPr>
          <w:rFonts w:ascii="Times New Roman" w:hAnsi="Times New Roman" w:cs="Times New Roman"/>
          <w:sz w:val="28"/>
          <w:szCs w:val="28"/>
        </w:rPr>
        <w:t xml:space="preserve"> </w:t>
      </w:r>
      <w:r w:rsidR="00892043" w:rsidRPr="000B3F78">
        <w:rPr>
          <w:rFonts w:ascii="Times New Roman" w:hAnsi="Times New Roman" w:cs="Times New Roman"/>
          <w:sz w:val="28"/>
          <w:szCs w:val="28"/>
        </w:rPr>
        <w:t xml:space="preserve">малый и средний бизнес, </w:t>
      </w:r>
      <w:r w:rsidR="007B3C83" w:rsidRPr="000B3F78">
        <w:rPr>
          <w:rFonts w:ascii="Times New Roman" w:hAnsi="Times New Roman" w:cs="Times New Roman"/>
          <w:sz w:val="28"/>
          <w:szCs w:val="28"/>
        </w:rPr>
        <w:t xml:space="preserve">банки, </w:t>
      </w:r>
      <w:r w:rsidR="00892043" w:rsidRPr="000B3F78">
        <w:rPr>
          <w:rFonts w:ascii="Times New Roman" w:hAnsi="Times New Roman" w:cs="Times New Roman"/>
          <w:sz w:val="28"/>
          <w:szCs w:val="28"/>
        </w:rPr>
        <w:t xml:space="preserve">кредитование, </w:t>
      </w:r>
      <w:r w:rsidR="00452F2E" w:rsidRPr="000B3F78">
        <w:rPr>
          <w:rFonts w:ascii="Times New Roman" w:hAnsi="Times New Roman" w:cs="Times New Roman"/>
          <w:sz w:val="28"/>
          <w:szCs w:val="28"/>
        </w:rPr>
        <w:t>риск кредитования.</w:t>
      </w:r>
    </w:p>
    <w:p w14:paraId="409F5BA6" w14:textId="77777777" w:rsidR="004F494D" w:rsidRPr="000B3F78" w:rsidRDefault="007E1323" w:rsidP="006273F2">
      <w:pPr>
        <w:spacing w:after="0" w:line="240" w:lineRule="auto"/>
        <w:jc w:val="both"/>
        <w:rPr>
          <w:rFonts w:ascii="Times New Roman" w:hAnsi="Times New Roman" w:cs="Times New Roman"/>
          <w:sz w:val="28"/>
          <w:szCs w:val="28"/>
          <w:lang w:val="en-US"/>
        </w:rPr>
      </w:pPr>
      <w:r w:rsidRPr="000B3F78">
        <w:rPr>
          <w:rFonts w:ascii="Times New Roman" w:hAnsi="Times New Roman" w:cs="Times New Roman"/>
          <w:sz w:val="28"/>
          <w:szCs w:val="28"/>
        </w:rPr>
        <w:t xml:space="preserve">         </w:t>
      </w:r>
      <w:r w:rsidR="0049260E" w:rsidRPr="000B3F78">
        <w:rPr>
          <w:rFonts w:ascii="Times New Roman" w:hAnsi="Times New Roman" w:cs="Times New Roman"/>
          <w:b/>
          <w:sz w:val="28"/>
          <w:szCs w:val="28"/>
          <w:lang w:val="en-US"/>
        </w:rPr>
        <w:t>Annotation.</w:t>
      </w:r>
      <w:r w:rsidR="0049260E" w:rsidRPr="000B3F78">
        <w:rPr>
          <w:rFonts w:ascii="Times New Roman" w:hAnsi="Times New Roman" w:cs="Times New Roman"/>
          <w:sz w:val="28"/>
          <w:szCs w:val="28"/>
          <w:lang w:val="en-US"/>
        </w:rPr>
        <w:t xml:space="preserve"> </w:t>
      </w:r>
      <w:r w:rsidR="004F494D" w:rsidRPr="000B3F78">
        <w:rPr>
          <w:rFonts w:ascii="Times New Roman" w:hAnsi="Times New Roman" w:cs="Times New Roman"/>
          <w:sz w:val="28"/>
          <w:szCs w:val="28"/>
          <w:lang w:val="en-US"/>
        </w:rPr>
        <w:t>This article examines the current aspects of the development of bank lending to small and medium-sized businesses in modern Russia: the structure of the loan portfolio of small and medium-sized businesses by type of activity is analyzed. Based on the analysis of statistical information on the volume of lending, the dynamics of interest rates and the amount of overdue debts, modern lending trends are considered. The features of lending to small and medium-sized businesses, as well as the risks of the modern lending system in this sector, have been determined. Based on the results of the study, the current development trends and problems of the development of lending to such borrowers are highlighted. Proposed directions for solving problems.</w:t>
      </w:r>
    </w:p>
    <w:p w14:paraId="3C8BC865" w14:textId="77777777" w:rsidR="009C46E8" w:rsidRPr="000B3F78" w:rsidRDefault="0049260E" w:rsidP="004F494D">
      <w:pPr>
        <w:spacing w:after="0" w:line="240" w:lineRule="auto"/>
        <w:ind w:firstLine="567"/>
        <w:jc w:val="both"/>
        <w:rPr>
          <w:rFonts w:ascii="Times New Roman" w:hAnsi="Times New Roman" w:cs="Times New Roman"/>
          <w:sz w:val="28"/>
          <w:szCs w:val="28"/>
          <w:lang w:val="en-US"/>
        </w:rPr>
      </w:pPr>
      <w:r w:rsidRPr="000B3F78">
        <w:rPr>
          <w:rFonts w:ascii="Times New Roman" w:hAnsi="Times New Roman" w:cs="Times New Roman"/>
          <w:b/>
          <w:sz w:val="28"/>
          <w:szCs w:val="28"/>
          <w:lang w:val="en-US"/>
        </w:rPr>
        <w:lastRenderedPageBreak/>
        <w:t>Keywords:</w:t>
      </w:r>
      <w:r w:rsidRPr="000B3F78">
        <w:rPr>
          <w:rFonts w:ascii="Times New Roman" w:hAnsi="Times New Roman" w:cs="Times New Roman"/>
          <w:sz w:val="28"/>
          <w:szCs w:val="28"/>
          <w:lang w:val="en-US"/>
        </w:rPr>
        <w:t xml:space="preserve"> small and medium-sized businesses, banks, lending, lending risk.</w:t>
      </w:r>
    </w:p>
    <w:p w14:paraId="5993A368" w14:textId="77777777" w:rsidR="0024205B" w:rsidRPr="000B3F78" w:rsidRDefault="0024205B" w:rsidP="00672223">
      <w:pPr>
        <w:spacing w:after="0" w:line="240" w:lineRule="auto"/>
        <w:ind w:firstLine="567"/>
        <w:contextualSpacing/>
        <w:jc w:val="both"/>
        <w:rPr>
          <w:rFonts w:ascii="Times New Roman" w:hAnsi="Times New Roman" w:cs="Times New Roman"/>
          <w:b/>
          <w:sz w:val="28"/>
          <w:szCs w:val="28"/>
          <w:lang w:val="en-US"/>
        </w:rPr>
      </w:pPr>
    </w:p>
    <w:p w14:paraId="0FF0A905" w14:textId="77777777" w:rsidR="007E1323" w:rsidRPr="000B3F78" w:rsidRDefault="007E1323" w:rsidP="00672223">
      <w:pPr>
        <w:spacing w:after="0" w:line="240" w:lineRule="auto"/>
        <w:ind w:firstLine="567"/>
        <w:contextualSpacing/>
        <w:jc w:val="both"/>
        <w:rPr>
          <w:rFonts w:ascii="Times New Roman" w:hAnsi="Times New Roman" w:cs="Times New Roman"/>
          <w:b/>
          <w:sz w:val="28"/>
          <w:szCs w:val="28"/>
        </w:rPr>
      </w:pPr>
      <w:r w:rsidRPr="000B3F78">
        <w:rPr>
          <w:rFonts w:ascii="Times New Roman" w:hAnsi="Times New Roman" w:cs="Times New Roman"/>
          <w:b/>
          <w:sz w:val="28"/>
          <w:szCs w:val="28"/>
        </w:rPr>
        <w:t>Введение</w:t>
      </w:r>
    </w:p>
    <w:p w14:paraId="1E90EF4C" w14:textId="77777777" w:rsidR="000F3118" w:rsidRPr="00672223" w:rsidRDefault="00F249DE" w:rsidP="00672223">
      <w:pPr>
        <w:spacing w:after="0" w:line="240" w:lineRule="auto"/>
        <w:ind w:firstLine="567"/>
        <w:contextualSpacing/>
        <w:jc w:val="both"/>
        <w:rPr>
          <w:rFonts w:ascii="Times New Roman" w:hAnsi="Times New Roman" w:cs="Times New Roman"/>
          <w:sz w:val="28"/>
          <w:szCs w:val="28"/>
        </w:rPr>
      </w:pPr>
      <w:r w:rsidRPr="000B3F78">
        <w:rPr>
          <w:rFonts w:ascii="Times New Roman" w:hAnsi="Times New Roman" w:cs="Times New Roman"/>
          <w:sz w:val="28"/>
          <w:szCs w:val="28"/>
        </w:rPr>
        <w:t>Развитие кредитования м</w:t>
      </w:r>
      <w:r w:rsidR="000F3118" w:rsidRPr="000B3F78">
        <w:rPr>
          <w:rFonts w:ascii="Times New Roman" w:hAnsi="Times New Roman" w:cs="Times New Roman"/>
          <w:sz w:val="28"/>
          <w:szCs w:val="28"/>
        </w:rPr>
        <w:t>ал</w:t>
      </w:r>
      <w:r w:rsidRPr="000B3F78">
        <w:rPr>
          <w:rFonts w:ascii="Times New Roman" w:hAnsi="Times New Roman" w:cs="Times New Roman"/>
          <w:sz w:val="28"/>
          <w:szCs w:val="28"/>
        </w:rPr>
        <w:t>ого</w:t>
      </w:r>
      <w:r w:rsidR="000F3118" w:rsidRPr="000B3F78">
        <w:rPr>
          <w:rFonts w:ascii="Times New Roman" w:hAnsi="Times New Roman" w:cs="Times New Roman"/>
          <w:sz w:val="28"/>
          <w:szCs w:val="28"/>
        </w:rPr>
        <w:t xml:space="preserve"> и средн</w:t>
      </w:r>
      <w:r w:rsidRPr="000B3F78">
        <w:rPr>
          <w:rFonts w:ascii="Times New Roman" w:hAnsi="Times New Roman" w:cs="Times New Roman"/>
          <w:sz w:val="28"/>
          <w:szCs w:val="28"/>
        </w:rPr>
        <w:t>его</w:t>
      </w:r>
      <w:r w:rsidR="000F3118" w:rsidRPr="000B3F78">
        <w:rPr>
          <w:rFonts w:ascii="Times New Roman" w:hAnsi="Times New Roman" w:cs="Times New Roman"/>
          <w:sz w:val="28"/>
          <w:szCs w:val="28"/>
        </w:rPr>
        <w:t xml:space="preserve"> бизнес</w:t>
      </w:r>
      <w:r w:rsidRPr="000B3F78">
        <w:rPr>
          <w:rFonts w:ascii="Times New Roman" w:hAnsi="Times New Roman" w:cs="Times New Roman"/>
          <w:sz w:val="28"/>
          <w:szCs w:val="28"/>
        </w:rPr>
        <w:t>а</w:t>
      </w:r>
      <w:r w:rsidR="00B03EF1" w:rsidRPr="000B3F78">
        <w:rPr>
          <w:rFonts w:ascii="Times New Roman" w:hAnsi="Times New Roman" w:cs="Times New Roman"/>
          <w:sz w:val="28"/>
          <w:szCs w:val="28"/>
        </w:rPr>
        <w:t xml:space="preserve"> (</w:t>
      </w:r>
      <w:r w:rsidR="00B5687C" w:rsidRPr="000B3F78">
        <w:rPr>
          <w:rFonts w:ascii="Times New Roman" w:hAnsi="Times New Roman" w:cs="Times New Roman"/>
          <w:sz w:val="28"/>
          <w:szCs w:val="28"/>
        </w:rPr>
        <w:t xml:space="preserve">далее </w:t>
      </w:r>
      <w:r w:rsidR="00B03EF1" w:rsidRPr="000B3F78">
        <w:rPr>
          <w:rFonts w:ascii="Times New Roman" w:hAnsi="Times New Roman" w:cs="Times New Roman"/>
          <w:sz w:val="28"/>
          <w:szCs w:val="28"/>
        </w:rPr>
        <w:t>МСБ)</w:t>
      </w:r>
      <w:r w:rsidR="000F3118" w:rsidRPr="000B3F78">
        <w:rPr>
          <w:rFonts w:ascii="Times New Roman" w:hAnsi="Times New Roman" w:cs="Times New Roman"/>
          <w:sz w:val="28"/>
          <w:szCs w:val="28"/>
        </w:rPr>
        <w:t>,</w:t>
      </w:r>
      <w:r>
        <w:rPr>
          <w:rFonts w:ascii="Times New Roman" w:hAnsi="Times New Roman" w:cs="Times New Roman"/>
          <w:sz w:val="28"/>
          <w:szCs w:val="28"/>
        </w:rPr>
        <w:t xml:space="preserve"> является одним из важных инструментов расширения данного сектора экономики. Вопросы кредитования данного сектора обсуждаются уже не первое десятилетие. На современном этапе еще остается достаточно не решенных проблем.</w:t>
      </w:r>
    </w:p>
    <w:p w14:paraId="3938FF37" w14:textId="77777777" w:rsidR="000034FD" w:rsidRPr="000034FD" w:rsidRDefault="000034FD" w:rsidP="00672223">
      <w:pPr>
        <w:spacing w:after="0" w:line="240" w:lineRule="auto"/>
        <w:ind w:firstLine="567"/>
        <w:contextualSpacing/>
        <w:jc w:val="both"/>
        <w:rPr>
          <w:rFonts w:ascii="Times New Roman" w:hAnsi="Times New Roman" w:cs="Times New Roman"/>
          <w:b/>
          <w:sz w:val="28"/>
          <w:szCs w:val="28"/>
        </w:rPr>
      </w:pPr>
      <w:r w:rsidRPr="000034FD">
        <w:rPr>
          <w:rFonts w:ascii="Times New Roman" w:hAnsi="Times New Roman" w:cs="Times New Roman"/>
          <w:b/>
          <w:sz w:val="28"/>
          <w:szCs w:val="28"/>
        </w:rPr>
        <w:t>Методология исследования</w:t>
      </w:r>
    </w:p>
    <w:p w14:paraId="5AA3BB31" w14:textId="77777777" w:rsidR="000034FD" w:rsidRDefault="000034FD" w:rsidP="0067222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нашей работе мы провели анализ современных аспектов функционирования рынка банковского кредитования МСБ. Обобщив выводы, сделанные из анализа, мы синтезировали основные тенденции в общую концепцию на данном сегменте рынка кредитов. В заключении мы выдвинули гипотезу о том, что </w:t>
      </w:r>
      <w:proofErr w:type="spellStart"/>
      <w:r>
        <w:rPr>
          <w:rFonts w:ascii="Times New Roman" w:hAnsi="Times New Roman" w:cs="Times New Roman"/>
          <w:sz w:val="28"/>
          <w:szCs w:val="28"/>
        </w:rPr>
        <w:t>моглобы</w:t>
      </w:r>
      <w:proofErr w:type="spellEnd"/>
      <w:r>
        <w:rPr>
          <w:rFonts w:ascii="Times New Roman" w:hAnsi="Times New Roman" w:cs="Times New Roman"/>
          <w:sz w:val="28"/>
          <w:szCs w:val="28"/>
        </w:rPr>
        <w:t xml:space="preserve"> способствовать развитию рынка кредитования МСБ.</w:t>
      </w:r>
    </w:p>
    <w:p w14:paraId="56513B50" w14:textId="77777777" w:rsidR="000034FD" w:rsidRPr="000034FD" w:rsidRDefault="000034FD" w:rsidP="00672223">
      <w:pPr>
        <w:spacing w:after="0" w:line="240" w:lineRule="auto"/>
        <w:ind w:firstLine="567"/>
        <w:contextualSpacing/>
        <w:jc w:val="both"/>
        <w:rPr>
          <w:rFonts w:ascii="Times New Roman" w:hAnsi="Times New Roman" w:cs="Times New Roman"/>
          <w:b/>
          <w:sz w:val="28"/>
          <w:szCs w:val="28"/>
        </w:rPr>
      </w:pPr>
      <w:r w:rsidRPr="000034FD">
        <w:rPr>
          <w:rFonts w:ascii="Times New Roman" w:hAnsi="Times New Roman" w:cs="Times New Roman"/>
          <w:b/>
          <w:sz w:val="28"/>
          <w:szCs w:val="28"/>
        </w:rPr>
        <w:t xml:space="preserve">Результаты исследования </w:t>
      </w:r>
    </w:p>
    <w:p w14:paraId="055D5737" w14:textId="77777777" w:rsidR="00EE23E7" w:rsidRPr="00672223" w:rsidRDefault="00F249DE" w:rsidP="0067222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Характеризуя МСБ как заемщиков, можно сказать, что в</w:t>
      </w:r>
      <w:r w:rsidR="00EE23E7" w:rsidRPr="00672223">
        <w:rPr>
          <w:rFonts w:ascii="Times New Roman" w:hAnsi="Times New Roman" w:cs="Times New Roman"/>
          <w:sz w:val="28"/>
          <w:szCs w:val="28"/>
        </w:rPr>
        <w:t>опреки распространенному мнению, к малому бизнесу относятся не только индивидуальные предприниматели, но и небольшие компании со штатом около 50 человек.</w:t>
      </w:r>
      <w:r w:rsidRPr="00F249DE">
        <w:rPr>
          <w:rFonts w:ascii="Times New Roman" w:hAnsi="Times New Roman" w:cs="Times New Roman"/>
          <w:sz w:val="28"/>
          <w:szCs w:val="28"/>
        </w:rPr>
        <w:t xml:space="preserve"> </w:t>
      </w:r>
      <w:r w:rsidRPr="00672223">
        <w:rPr>
          <w:rFonts w:ascii="Times New Roman" w:hAnsi="Times New Roman" w:cs="Times New Roman"/>
          <w:sz w:val="28"/>
          <w:szCs w:val="28"/>
        </w:rPr>
        <w:t>[2]</w:t>
      </w:r>
    </w:p>
    <w:p w14:paraId="68E782B7" w14:textId="77777777" w:rsidR="00EE23E7"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Средний бизнес отличается по своей зоне охвата. Они обычно включают в себя целую сеть, которая способна обслуживать большую клиентскую аудиторию. Строго говоря, им даже не нужно вести свою работу на территории одного города. Такие сети могут влиять на весь регион, но не выходить на рынок соседнего региона.</w:t>
      </w:r>
    </w:p>
    <w:p w14:paraId="148E86FE" w14:textId="77777777" w:rsidR="00EE23E7"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 xml:space="preserve">Определяя сущность малого предпринимательства, можно выделить, что это сектор экономики, характеризующийся мелким производством. Из-за ограниченности ресурсов: сырья, финансовых ресурсов, рабочей силы. </w:t>
      </w:r>
    </w:p>
    <w:p w14:paraId="3ADD6FF4" w14:textId="77777777" w:rsidR="00EE23E7"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Этот сектор наиболее подвержен воздействию внешней среды, но по этой причине малое предприятие является наиболее мобильной по размерам экономической единицей, не требующей громоздких систем управления.</w:t>
      </w:r>
      <w:r w:rsidR="00B67426" w:rsidRPr="00672223">
        <w:rPr>
          <w:rFonts w:ascii="Times New Roman" w:hAnsi="Times New Roman" w:cs="Times New Roman"/>
          <w:sz w:val="28"/>
          <w:szCs w:val="28"/>
        </w:rPr>
        <w:t xml:space="preserve"> [1]</w:t>
      </w:r>
    </w:p>
    <w:p w14:paraId="5C1CA786" w14:textId="77777777" w:rsidR="00F5124B" w:rsidRPr="00672223" w:rsidRDefault="001573A9" w:rsidP="001573A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рисунке 1 представлено </w:t>
      </w:r>
      <w:r w:rsidR="00CB13AB">
        <w:rPr>
          <w:rFonts w:ascii="Times New Roman" w:hAnsi="Times New Roman" w:cs="Times New Roman"/>
          <w:sz w:val="28"/>
          <w:szCs w:val="28"/>
        </w:rPr>
        <w:t>п</w:t>
      </w:r>
      <w:r w:rsidR="00EE23E7" w:rsidRPr="00672223">
        <w:rPr>
          <w:rFonts w:ascii="Times New Roman" w:hAnsi="Times New Roman" w:cs="Times New Roman"/>
          <w:sz w:val="28"/>
          <w:szCs w:val="28"/>
        </w:rPr>
        <w:t>роцентное соотношение причин, по которым банк отказывается предоставлять кредит малому и среднему бизнесу</w:t>
      </w:r>
      <w:r>
        <w:rPr>
          <w:rFonts w:ascii="Times New Roman" w:hAnsi="Times New Roman" w:cs="Times New Roman"/>
          <w:sz w:val="28"/>
          <w:szCs w:val="28"/>
        </w:rPr>
        <w:t>.</w:t>
      </w:r>
    </w:p>
    <w:p w14:paraId="5253AF3F" w14:textId="77777777" w:rsidR="00AA77D3" w:rsidRPr="00672223" w:rsidRDefault="00EE23E7" w:rsidP="00051D66">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lastRenderedPageBreak/>
        <w:t xml:space="preserve"> </w:t>
      </w:r>
      <w:r w:rsidRPr="00672223">
        <w:rPr>
          <w:rFonts w:ascii="Times New Roman" w:hAnsi="Times New Roman" w:cs="Times New Roman"/>
          <w:noProof/>
          <w:sz w:val="28"/>
          <w:szCs w:val="28"/>
          <w:lang w:eastAsia="ru-RU"/>
        </w:rPr>
        <w:drawing>
          <wp:inline distT="0" distB="0" distL="0" distR="0" wp14:anchorId="009BBCED" wp14:editId="71AB71BD">
            <wp:extent cx="4797174" cy="2530549"/>
            <wp:effectExtent l="19050" t="0" r="22476" b="3101"/>
            <wp:docPr id="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76EF7B" w14:textId="77777777" w:rsidR="00EE23E7" w:rsidRDefault="00043EE3" w:rsidP="0067222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Рисунок 1</w:t>
      </w:r>
      <w:r w:rsidR="00EE23E7" w:rsidRPr="00672223">
        <w:rPr>
          <w:rFonts w:ascii="Times New Roman" w:hAnsi="Times New Roman" w:cs="Times New Roman"/>
          <w:sz w:val="28"/>
          <w:szCs w:val="28"/>
        </w:rPr>
        <w:t xml:space="preserve"> Причины, по которым банк отказывается платить кре</w:t>
      </w:r>
      <w:r w:rsidR="00492B97" w:rsidRPr="00672223">
        <w:rPr>
          <w:rFonts w:ascii="Times New Roman" w:hAnsi="Times New Roman" w:cs="Times New Roman"/>
          <w:sz w:val="28"/>
          <w:szCs w:val="28"/>
        </w:rPr>
        <w:t>дит малому и среднему бизнесу</w:t>
      </w:r>
      <w:r w:rsidR="00AA611B" w:rsidRPr="00672223">
        <w:rPr>
          <w:rFonts w:ascii="Times New Roman" w:hAnsi="Times New Roman" w:cs="Times New Roman"/>
          <w:sz w:val="28"/>
          <w:szCs w:val="28"/>
        </w:rPr>
        <w:t>[</w:t>
      </w:r>
      <w:r w:rsidR="009A5003" w:rsidRPr="00672223">
        <w:rPr>
          <w:rFonts w:ascii="Times New Roman" w:hAnsi="Times New Roman" w:cs="Times New Roman"/>
          <w:sz w:val="28"/>
          <w:szCs w:val="28"/>
        </w:rPr>
        <w:t>3</w:t>
      </w:r>
      <w:r w:rsidR="00EE23E7" w:rsidRPr="00672223">
        <w:rPr>
          <w:rFonts w:ascii="Times New Roman" w:hAnsi="Times New Roman" w:cs="Times New Roman"/>
          <w:sz w:val="28"/>
          <w:szCs w:val="28"/>
        </w:rPr>
        <w:t>]</w:t>
      </w:r>
    </w:p>
    <w:p w14:paraId="40CE3B98" w14:textId="77777777" w:rsidR="00CC0A7B" w:rsidRPr="000E74E1" w:rsidRDefault="00CC0A7B" w:rsidP="00CC0A7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w:t>
      </w:r>
      <w:r w:rsidR="00CB13AB">
        <w:rPr>
          <w:rFonts w:ascii="Times New Roman" w:hAnsi="Times New Roman" w:cs="Times New Roman"/>
          <w:sz w:val="28"/>
          <w:szCs w:val="28"/>
        </w:rPr>
        <w:t xml:space="preserve"> основании рисунка 1 м</w:t>
      </w:r>
      <w:r>
        <w:rPr>
          <w:rFonts w:ascii="Times New Roman" w:hAnsi="Times New Roman" w:cs="Times New Roman"/>
          <w:sz w:val="28"/>
          <w:szCs w:val="28"/>
        </w:rPr>
        <w:t>ожно сделать вывод о том, что наибольший процент занимает причина высоких</w:t>
      </w:r>
      <w:r w:rsidR="00CB13AB">
        <w:rPr>
          <w:rFonts w:ascii="Times New Roman" w:hAnsi="Times New Roman" w:cs="Times New Roman"/>
          <w:sz w:val="28"/>
          <w:szCs w:val="28"/>
        </w:rPr>
        <w:t xml:space="preserve"> </w:t>
      </w:r>
      <w:r>
        <w:rPr>
          <w:rFonts w:ascii="Times New Roman" w:hAnsi="Times New Roman" w:cs="Times New Roman"/>
          <w:sz w:val="28"/>
          <w:szCs w:val="28"/>
        </w:rPr>
        <w:t>рисков</w:t>
      </w:r>
      <w:r w:rsidR="00530D3B">
        <w:rPr>
          <w:rFonts w:ascii="Times New Roman" w:hAnsi="Times New Roman" w:cs="Times New Roman"/>
          <w:sz w:val="28"/>
          <w:szCs w:val="28"/>
        </w:rPr>
        <w:t xml:space="preserve"> кредитования подобных заемщиков.</w:t>
      </w:r>
    </w:p>
    <w:p w14:paraId="42D0FE13" w14:textId="77777777" w:rsidR="001573A9" w:rsidRPr="00672223" w:rsidRDefault="001573A9" w:rsidP="001573A9">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 xml:space="preserve">В целом условия кредитования малого бизнеса с каждым годом улучшаются: снижаются процентные ставки, увеличиваются сроки. Но проблемы остаются – финансовые институты по-прежнему не очень охотно сотрудничают с малым бизнесом. Этому способствуют особенности присущие малому и среднему бизнесу. Такие процессы отражаются на причинах отказа в выдаче кредита банками. </w:t>
      </w:r>
      <w:r w:rsidRPr="001573A9">
        <w:rPr>
          <w:rFonts w:ascii="Times New Roman" w:hAnsi="Times New Roman" w:cs="Times New Roman"/>
          <w:sz w:val="28"/>
          <w:szCs w:val="28"/>
        </w:rPr>
        <w:t>[10]</w:t>
      </w:r>
    </w:p>
    <w:p w14:paraId="66B00028" w14:textId="77777777" w:rsidR="000E74E1" w:rsidRPr="000E74E1" w:rsidRDefault="000E74E1" w:rsidP="000E74E1">
      <w:pPr>
        <w:spacing w:after="0" w:line="240" w:lineRule="auto"/>
        <w:ind w:firstLine="567"/>
        <w:contextualSpacing/>
        <w:jc w:val="both"/>
        <w:rPr>
          <w:rFonts w:ascii="Times New Roman" w:hAnsi="Times New Roman" w:cs="Times New Roman"/>
          <w:sz w:val="28"/>
          <w:szCs w:val="28"/>
        </w:rPr>
      </w:pPr>
      <w:r w:rsidRPr="000E74E1">
        <w:rPr>
          <w:rFonts w:ascii="Times New Roman" w:hAnsi="Times New Roman" w:cs="Times New Roman"/>
          <w:sz w:val="28"/>
          <w:szCs w:val="28"/>
        </w:rPr>
        <w:t>Банк, выдающ</w:t>
      </w:r>
      <w:r w:rsidR="001D5D91">
        <w:rPr>
          <w:rFonts w:ascii="Times New Roman" w:hAnsi="Times New Roman" w:cs="Times New Roman"/>
          <w:sz w:val="28"/>
          <w:szCs w:val="28"/>
        </w:rPr>
        <w:t>ий</w:t>
      </w:r>
      <w:r w:rsidRPr="000E74E1">
        <w:rPr>
          <w:rFonts w:ascii="Times New Roman" w:hAnsi="Times New Roman" w:cs="Times New Roman"/>
          <w:sz w:val="28"/>
          <w:szCs w:val="28"/>
        </w:rPr>
        <w:t xml:space="preserve"> кредит малому бизнесу, подвергается большому риску, поскольку </w:t>
      </w:r>
      <w:r w:rsidR="00530D3B">
        <w:rPr>
          <w:rFonts w:ascii="Times New Roman" w:hAnsi="Times New Roman" w:cs="Times New Roman"/>
          <w:sz w:val="28"/>
          <w:szCs w:val="28"/>
        </w:rPr>
        <w:t xml:space="preserve">подобные </w:t>
      </w:r>
      <w:proofErr w:type="gramStart"/>
      <w:r w:rsidR="00530D3B">
        <w:rPr>
          <w:rFonts w:ascii="Times New Roman" w:hAnsi="Times New Roman" w:cs="Times New Roman"/>
          <w:sz w:val="28"/>
          <w:szCs w:val="28"/>
        </w:rPr>
        <w:t xml:space="preserve">заемщики, </w:t>
      </w:r>
      <w:r w:rsidRPr="000E74E1">
        <w:rPr>
          <w:rFonts w:ascii="Times New Roman" w:hAnsi="Times New Roman" w:cs="Times New Roman"/>
          <w:sz w:val="28"/>
          <w:szCs w:val="28"/>
        </w:rPr>
        <w:t xml:space="preserve"> </w:t>
      </w:r>
      <w:r w:rsidR="00530D3B">
        <w:rPr>
          <w:rFonts w:ascii="Times New Roman" w:hAnsi="Times New Roman" w:cs="Times New Roman"/>
          <w:sz w:val="28"/>
          <w:szCs w:val="28"/>
        </w:rPr>
        <w:t xml:space="preserve"> </w:t>
      </w:r>
      <w:proofErr w:type="gramEnd"/>
      <w:r w:rsidR="00530D3B">
        <w:rPr>
          <w:rFonts w:ascii="Times New Roman" w:hAnsi="Times New Roman" w:cs="Times New Roman"/>
          <w:sz w:val="28"/>
          <w:szCs w:val="28"/>
        </w:rPr>
        <w:t>как правило, имеют двойную бухгалтерию и к тому же их деятельность действительно более рисковая, чем у крупного бизнеса, который может рассчитывать на поддержку государства в случае появления признаков банкротства.</w:t>
      </w:r>
      <w:r w:rsidRPr="000E74E1">
        <w:rPr>
          <w:rFonts w:ascii="Times New Roman" w:hAnsi="Times New Roman" w:cs="Times New Roman"/>
          <w:sz w:val="28"/>
          <w:szCs w:val="28"/>
        </w:rPr>
        <w:t>[4]</w:t>
      </w:r>
    </w:p>
    <w:p w14:paraId="0902F5E5" w14:textId="77777777" w:rsidR="000E74E1" w:rsidRDefault="001D5D91" w:rsidP="000E74E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Поэтому</w:t>
      </w:r>
      <w:r w:rsidR="000E74E1" w:rsidRPr="000E74E1">
        <w:rPr>
          <w:rFonts w:ascii="Times New Roman" w:hAnsi="Times New Roman" w:cs="Times New Roman"/>
          <w:sz w:val="28"/>
          <w:szCs w:val="28"/>
        </w:rPr>
        <w:t>, банк может потребовать от заемщика предоставить ликвидное обеспечение, которое может стать источ</w:t>
      </w:r>
      <w:r w:rsidR="000E0343">
        <w:rPr>
          <w:rFonts w:ascii="Times New Roman" w:hAnsi="Times New Roman" w:cs="Times New Roman"/>
          <w:sz w:val="28"/>
          <w:szCs w:val="28"/>
        </w:rPr>
        <w:t xml:space="preserve">ником возврата денежных средств. </w:t>
      </w:r>
      <w:r w:rsidR="000E74E1" w:rsidRPr="000E74E1">
        <w:rPr>
          <w:rFonts w:ascii="Times New Roman" w:hAnsi="Times New Roman" w:cs="Times New Roman"/>
          <w:sz w:val="28"/>
          <w:szCs w:val="28"/>
        </w:rPr>
        <w:t>Только тогда банк задумается о том, насколько полезным будет кредит для заемщика. Получить кредит предприятию практически невозможно без предоставления бизнес-плана и источников погашения кредита.</w:t>
      </w:r>
      <w:r w:rsidR="000E74E1" w:rsidRPr="00726DC1">
        <w:rPr>
          <w:rFonts w:ascii="Times New Roman" w:hAnsi="Times New Roman" w:cs="Times New Roman"/>
          <w:sz w:val="28"/>
          <w:szCs w:val="28"/>
        </w:rPr>
        <w:t>[8</w:t>
      </w:r>
      <w:r w:rsidR="000E74E1" w:rsidRPr="000E74E1">
        <w:rPr>
          <w:rFonts w:ascii="Times New Roman" w:hAnsi="Times New Roman" w:cs="Times New Roman"/>
          <w:sz w:val="28"/>
          <w:szCs w:val="28"/>
        </w:rPr>
        <w:t>]</w:t>
      </w:r>
      <w:r>
        <w:rPr>
          <w:rFonts w:ascii="Times New Roman" w:hAnsi="Times New Roman" w:cs="Times New Roman"/>
          <w:sz w:val="28"/>
          <w:szCs w:val="28"/>
        </w:rPr>
        <w:t xml:space="preserve"> Ведение двойной бухгалтерии и стремление избежать налогообложения, позволяют малому бизнесу выживать, но служат препятствием для получения дополнительного финансирования в банке.</w:t>
      </w:r>
    </w:p>
    <w:p w14:paraId="51A0133A" w14:textId="77777777" w:rsidR="00EE23E7" w:rsidRPr="00672223" w:rsidRDefault="00492B97" w:rsidP="000E74E1">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Проведем анализ</w:t>
      </w:r>
      <w:r w:rsidR="00EE23E7" w:rsidRPr="00672223">
        <w:rPr>
          <w:rFonts w:ascii="Times New Roman" w:hAnsi="Times New Roman" w:cs="Times New Roman"/>
          <w:sz w:val="28"/>
          <w:szCs w:val="28"/>
        </w:rPr>
        <w:t xml:space="preserve"> </w:t>
      </w:r>
      <w:r w:rsidR="000A0BE3" w:rsidRPr="00672223">
        <w:rPr>
          <w:rFonts w:ascii="Times New Roman" w:hAnsi="Times New Roman" w:cs="Times New Roman"/>
          <w:sz w:val="28"/>
          <w:szCs w:val="28"/>
        </w:rPr>
        <w:t xml:space="preserve">развития </w:t>
      </w:r>
      <w:r w:rsidR="001D5D91">
        <w:rPr>
          <w:rFonts w:ascii="Times New Roman" w:hAnsi="Times New Roman" w:cs="Times New Roman"/>
          <w:sz w:val="28"/>
          <w:szCs w:val="28"/>
        </w:rPr>
        <w:t>МСБ</w:t>
      </w:r>
      <w:r w:rsidR="00EE23E7" w:rsidRPr="00672223">
        <w:rPr>
          <w:rFonts w:ascii="Times New Roman" w:hAnsi="Times New Roman" w:cs="Times New Roman"/>
          <w:sz w:val="28"/>
          <w:szCs w:val="28"/>
        </w:rPr>
        <w:t xml:space="preserve"> в России.</w:t>
      </w:r>
      <w:r w:rsidR="002D68CD" w:rsidRPr="00672223">
        <w:rPr>
          <w:rFonts w:ascii="Times New Roman" w:hAnsi="Times New Roman" w:cs="Times New Roman"/>
          <w:sz w:val="28"/>
          <w:szCs w:val="28"/>
        </w:rPr>
        <w:t xml:space="preserve"> На </w:t>
      </w:r>
      <w:r w:rsidR="006C40DD" w:rsidRPr="00672223">
        <w:rPr>
          <w:rFonts w:ascii="Times New Roman" w:hAnsi="Times New Roman" w:cs="Times New Roman"/>
          <w:sz w:val="28"/>
          <w:szCs w:val="28"/>
        </w:rPr>
        <w:t>рисунке 2 рассмотри</w:t>
      </w:r>
      <w:r w:rsidR="000A0BE3" w:rsidRPr="00672223">
        <w:rPr>
          <w:rFonts w:ascii="Times New Roman" w:hAnsi="Times New Roman" w:cs="Times New Roman"/>
          <w:sz w:val="28"/>
          <w:szCs w:val="28"/>
        </w:rPr>
        <w:t>м</w:t>
      </w:r>
      <w:r w:rsidR="006C40DD" w:rsidRPr="00672223">
        <w:rPr>
          <w:rFonts w:ascii="Times New Roman" w:hAnsi="Times New Roman" w:cs="Times New Roman"/>
          <w:sz w:val="28"/>
          <w:szCs w:val="28"/>
        </w:rPr>
        <w:t xml:space="preserve"> отра</w:t>
      </w:r>
      <w:r w:rsidR="00EE23E7" w:rsidRPr="00672223">
        <w:rPr>
          <w:rFonts w:ascii="Times New Roman" w:hAnsi="Times New Roman" w:cs="Times New Roman"/>
          <w:sz w:val="28"/>
          <w:szCs w:val="28"/>
        </w:rPr>
        <w:t xml:space="preserve">слевую структуру кредитного портфеля </w:t>
      </w:r>
      <w:r w:rsidR="001D5D91">
        <w:rPr>
          <w:rFonts w:ascii="Times New Roman" w:hAnsi="Times New Roman" w:cs="Times New Roman"/>
          <w:sz w:val="28"/>
          <w:szCs w:val="28"/>
        </w:rPr>
        <w:t>МСБ</w:t>
      </w:r>
      <w:r w:rsidR="00EE23E7" w:rsidRPr="00672223">
        <w:rPr>
          <w:rFonts w:ascii="Times New Roman" w:hAnsi="Times New Roman" w:cs="Times New Roman"/>
          <w:sz w:val="28"/>
          <w:szCs w:val="28"/>
        </w:rPr>
        <w:t xml:space="preserve"> в России.</w:t>
      </w:r>
      <w:r w:rsidR="00A60F70" w:rsidRPr="00672223">
        <w:rPr>
          <w:rFonts w:ascii="Times New Roman" w:hAnsi="Times New Roman" w:cs="Times New Roman"/>
          <w:sz w:val="28"/>
          <w:szCs w:val="28"/>
        </w:rPr>
        <w:t xml:space="preserve"> </w:t>
      </w:r>
    </w:p>
    <w:p w14:paraId="050E8B64" w14:textId="77777777" w:rsidR="00A60F70" w:rsidRPr="00672223" w:rsidRDefault="00A60F70" w:rsidP="00672223">
      <w:pPr>
        <w:spacing w:after="0" w:line="240" w:lineRule="auto"/>
        <w:ind w:firstLine="567"/>
        <w:contextualSpacing/>
        <w:jc w:val="both"/>
        <w:rPr>
          <w:rFonts w:ascii="Times New Roman" w:hAnsi="Times New Roman" w:cs="Times New Roman"/>
          <w:sz w:val="28"/>
          <w:szCs w:val="28"/>
        </w:rPr>
      </w:pPr>
    </w:p>
    <w:p w14:paraId="1A061D59" w14:textId="77777777" w:rsidR="00EE23E7"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noProof/>
          <w:sz w:val="28"/>
          <w:szCs w:val="28"/>
          <w:lang w:eastAsia="ru-RU"/>
        </w:rPr>
        <w:lastRenderedPageBreak/>
        <w:drawing>
          <wp:inline distT="0" distB="0" distL="0" distR="0" wp14:anchorId="59374EDB" wp14:editId="39D8FBDB">
            <wp:extent cx="5244067" cy="2519916"/>
            <wp:effectExtent l="19050" t="0" r="13733" b="0"/>
            <wp:docPr id="5"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A0A4A3" w14:textId="77777777" w:rsidR="00EE23E7" w:rsidRPr="00B5687C" w:rsidRDefault="00043EE3" w:rsidP="00672223">
      <w:pPr>
        <w:spacing w:after="0" w:line="240" w:lineRule="auto"/>
        <w:ind w:firstLine="567"/>
        <w:contextualSpacing/>
        <w:jc w:val="both"/>
        <w:rPr>
          <w:rFonts w:ascii="Times New Roman" w:hAnsi="Times New Roman" w:cs="Times New Roman"/>
          <w:noProof/>
          <w:color w:val="000000" w:themeColor="text1"/>
          <w:sz w:val="28"/>
          <w:szCs w:val="28"/>
          <w:lang w:eastAsia="ru-RU"/>
        </w:rPr>
      </w:pPr>
      <w:r w:rsidRPr="00B5687C">
        <w:rPr>
          <w:rFonts w:ascii="Times New Roman" w:hAnsi="Times New Roman" w:cs="Times New Roman"/>
          <w:noProof/>
          <w:color w:val="000000" w:themeColor="text1"/>
          <w:sz w:val="28"/>
          <w:szCs w:val="28"/>
          <w:lang w:eastAsia="ru-RU"/>
        </w:rPr>
        <w:t>Рисунок 2</w:t>
      </w:r>
      <w:r w:rsidR="00EE23E7" w:rsidRPr="00B5687C">
        <w:rPr>
          <w:rFonts w:ascii="Times New Roman" w:hAnsi="Times New Roman" w:cs="Times New Roman"/>
          <w:noProof/>
          <w:color w:val="000000" w:themeColor="text1"/>
          <w:sz w:val="28"/>
          <w:szCs w:val="28"/>
          <w:lang w:eastAsia="ru-RU"/>
        </w:rPr>
        <w:t xml:space="preserve"> Структура </w:t>
      </w:r>
      <w:r w:rsidR="002D68CD" w:rsidRPr="00B5687C">
        <w:rPr>
          <w:rFonts w:ascii="Times New Roman" w:hAnsi="Times New Roman" w:cs="Times New Roman"/>
          <w:noProof/>
          <w:color w:val="000000" w:themeColor="text1"/>
          <w:sz w:val="28"/>
          <w:szCs w:val="28"/>
          <w:lang w:eastAsia="ru-RU"/>
        </w:rPr>
        <w:t xml:space="preserve">кредитного портфеля </w:t>
      </w:r>
      <w:r w:rsidR="001D5D91">
        <w:rPr>
          <w:rFonts w:ascii="Times New Roman" w:hAnsi="Times New Roman" w:cs="Times New Roman"/>
          <w:color w:val="000000" w:themeColor="text1"/>
          <w:sz w:val="28"/>
          <w:szCs w:val="28"/>
        </w:rPr>
        <w:t>МСБ</w:t>
      </w:r>
      <w:r w:rsidR="006F088E" w:rsidRPr="00B5687C">
        <w:rPr>
          <w:rFonts w:ascii="Times New Roman" w:hAnsi="Times New Roman" w:cs="Times New Roman"/>
          <w:noProof/>
          <w:color w:val="000000" w:themeColor="text1"/>
          <w:sz w:val="28"/>
          <w:szCs w:val="28"/>
          <w:lang w:eastAsia="ru-RU"/>
        </w:rPr>
        <w:t xml:space="preserve"> </w:t>
      </w:r>
      <w:r w:rsidR="002D68CD" w:rsidRPr="00B5687C">
        <w:rPr>
          <w:rFonts w:ascii="Times New Roman" w:hAnsi="Times New Roman" w:cs="Times New Roman"/>
          <w:noProof/>
          <w:color w:val="000000" w:themeColor="text1"/>
          <w:sz w:val="28"/>
          <w:szCs w:val="28"/>
          <w:lang w:eastAsia="ru-RU"/>
        </w:rPr>
        <w:t>за 2016-2020</w:t>
      </w:r>
      <w:r w:rsidR="006F088E" w:rsidRPr="00B5687C">
        <w:rPr>
          <w:rFonts w:ascii="Times New Roman" w:hAnsi="Times New Roman" w:cs="Times New Roman"/>
          <w:noProof/>
          <w:color w:val="000000" w:themeColor="text1"/>
          <w:sz w:val="28"/>
          <w:szCs w:val="28"/>
          <w:lang w:eastAsia="ru-RU"/>
        </w:rPr>
        <w:t xml:space="preserve"> гг.</w:t>
      </w:r>
      <w:r w:rsidR="00D81EDA" w:rsidRPr="00B5687C">
        <w:rPr>
          <w:rFonts w:ascii="Times New Roman" w:hAnsi="Times New Roman" w:cs="Times New Roman"/>
          <w:noProof/>
          <w:color w:val="000000" w:themeColor="text1"/>
          <w:sz w:val="28"/>
          <w:szCs w:val="28"/>
          <w:lang w:eastAsia="ru-RU"/>
        </w:rPr>
        <w:t xml:space="preserve"> </w:t>
      </w:r>
      <w:r w:rsidR="002D68CD" w:rsidRPr="00B5687C">
        <w:rPr>
          <w:rFonts w:ascii="Times New Roman" w:hAnsi="Times New Roman" w:cs="Times New Roman"/>
          <w:noProof/>
          <w:color w:val="000000" w:themeColor="text1"/>
          <w:sz w:val="28"/>
          <w:szCs w:val="28"/>
          <w:lang w:eastAsia="ru-RU"/>
        </w:rPr>
        <w:t>[</w:t>
      </w:r>
      <w:r w:rsidR="00D81EDA" w:rsidRPr="00B5687C">
        <w:rPr>
          <w:rFonts w:ascii="Times New Roman" w:hAnsi="Times New Roman" w:cs="Times New Roman"/>
          <w:noProof/>
          <w:color w:val="000000" w:themeColor="text1"/>
          <w:sz w:val="28"/>
          <w:szCs w:val="28"/>
          <w:lang w:eastAsia="ru-RU"/>
        </w:rPr>
        <w:t>5</w:t>
      </w:r>
      <w:r w:rsidR="00EE23E7" w:rsidRPr="00B5687C">
        <w:rPr>
          <w:rFonts w:ascii="Times New Roman" w:hAnsi="Times New Roman" w:cs="Times New Roman"/>
          <w:noProof/>
          <w:color w:val="000000" w:themeColor="text1"/>
          <w:sz w:val="28"/>
          <w:szCs w:val="28"/>
          <w:lang w:eastAsia="ru-RU"/>
        </w:rPr>
        <w:t>]</w:t>
      </w:r>
      <w:r w:rsidR="00D81EDA" w:rsidRPr="00B5687C">
        <w:rPr>
          <w:rFonts w:ascii="Times New Roman" w:hAnsi="Times New Roman" w:cs="Times New Roman"/>
          <w:noProof/>
          <w:color w:val="000000" w:themeColor="text1"/>
          <w:sz w:val="28"/>
          <w:szCs w:val="28"/>
          <w:lang w:eastAsia="ru-RU"/>
        </w:rPr>
        <w:t>[6]</w:t>
      </w:r>
    </w:p>
    <w:p w14:paraId="68D90217" w14:textId="77777777" w:rsidR="00EE23E7" w:rsidRPr="00B5687C" w:rsidRDefault="00EE23E7" w:rsidP="00672223">
      <w:pPr>
        <w:spacing w:after="0" w:line="240" w:lineRule="auto"/>
        <w:ind w:firstLine="567"/>
        <w:contextualSpacing/>
        <w:jc w:val="both"/>
        <w:rPr>
          <w:rFonts w:ascii="Times New Roman" w:hAnsi="Times New Roman" w:cs="Times New Roman"/>
          <w:noProof/>
          <w:color w:val="000000" w:themeColor="text1"/>
          <w:sz w:val="28"/>
          <w:szCs w:val="28"/>
          <w:lang w:eastAsia="ru-RU"/>
        </w:rPr>
      </w:pPr>
      <w:r w:rsidRPr="00B5687C">
        <w:rPr>
          <w:rFonts w:ascii="Times New Roman" w:hAnsi="Times New Roman" w:cs="Times New Roman"/>
          <w:noProof/>
          <w:color w:val="000000" w:themeColor="text1"/>
          <w:sz w:val="28"/>
          <w:szCs w:val="28"/>
          <w:lang w:eastAsia="ru-RU"/>
        </w:rPr>
        <w:t>На основании рисунка 2 можно сделать вывод о том, что отраслевая стуктура кредитного портфеля МСБ в течении периода практически не изменяется.</w:t>
      </w:r>
      <w:r w:rsidR="000A0BE3" w:rsidRPr="00B5687C">
        <w:rPr>
          <w:rFonts w:ascii="Times New Roman" w:hAnsi="Times New Roman" w:cs="Times New Roman"/>
          <w:noProof/>
          <w:color w:val="000000" w:themeColor="text1"/>
          <w:sz w:val="28"/>
          <w:szCs w:val="28"/>
          <w:lang w:eastAsia="ru-RU"/>
        </w:rPr>
        <w:t xml:space="preserve"> Преимущественно кредитуются торговый бизнес.</w:t>
      </w:r>
    </w:p>
    <w:p w14:paraId="68321660" w14:textId="77777777" w:rsidR="00EE23E7" w:rsidRPr="00B5687C" w:rsidRDefault="00EE23E7" w:rsidP="00672223">
      <w:pPr>
        <w:spacing w:after="0" w:line="240" w:lineRule="auto"/>
        <w:ind w:firstLine="567"/>
        <w:contextualSpacing/>
        <w:jc w:val="both"/>
        <w:rPr>
          <w:rFonts w:ascii="Times New Roman" w:hAnsi="Times New Roman" w:cs="Times New Roman"/>
          <w:noProof/>
          <w:color w:val="000000" w:themeColor="text1"/>
          <w:sz w:val="28"/>
          <w:szCs w:val="28"/>
          <w:lang w:eastAsia="ru-RU"/>
        </w:rPr>
      </w:pPr>
      <w:r w:rsidRPr="00B5687C">
        <w:rPr>
          <w:rFonts w:ascii="Times New Roman" w:hAnsi="Times New Roman" w:cs="Times New Roman"/>
          <w:noProof/>
          <w:color w:val="000000" w:themeColor="text1"/>
          <w:sz w:val="28"/>
          <w:szCs w:val="28"/>
          <w:lang w:eastAsia="ru-RU"/>
        </w:rPr>
        <w:t>Далее необходимо рассмотреть сам портфель кредитов МСБ, представленный на рисунке 3.</w:t>
      </w:r>
    </w:p>
    <w:p w14:paraId="649161E6" w14:textId="77777777" w:rsidR="002D1C3B" w:rsidRPr="00672223" w:rsidRDefault="002D1C3B" w:rsidP="00672223">
      <w:pPr>
        <w:spacing w:after="0" w:line="240" w:lineRule="auto"/>
        <w:ind w:firstLine="567"/>
        <w:contextualSpacing/>
        <w:jc w:val="both"/>
        <w:rPr>
          <w:rFonts w:ascii="Times New Roman" w:hAnsi="Times New Roman" w:cs="Times New Roman"/>
          <w:noProof/>
          <w:sz w:val="28"/>
          <w:szCs w:val="28"/>
          <w:lang w:eastAsia="ru-RU"/>
        </w:rPr>
      </w:pPr>
    </w:p>
    <w:p w14:paraId="3865AC84" w14:textId="77777777" w:rsidR="002D1C3B" w:rsidRPr="00672223" w:rsidRDefault="002D1C3B"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noProof/>
          <w:sz w:val="28"/>
          <w:szCs w:val="28"/>
          <w:lang w:eastAsia="ru-RU"/>
        </w:rPr>
        <w:drawing>
          <wp:inline distT="0" distB="0" distL="0" distR="0" wp14:anchorId="5442C14C" wp14:editId="1FFE580E">
            <wp:extent cx="5371657" cy="2615609"/>
            <wp:effectExtent l="19050" t="0" r="19493"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981660" w14:textId="77777777" w:rsidR="00EE23E7" w:rsidRPr="00672223" w:rsidRDefault="00043EE3" w:rsidP="0067222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Рисунок 3</w:t>
      </w:r>
      <w:r w:rsidR="00EE23E7" w:rsidRPr="00672223">
        <w:rPr>
          <w:rFonts w:ascii="Times New Roman" w:hAnsi="Times New Roman" w:cs="Times New Roman"/>
          <w:sz w:val="28"/>
          <w:szCs w:val="28"/>
        </w:rPr>
        <w:t xml:space="preserve"> Портфель кредито</w:t>
      </w:r>
      <w:r w:rsidR="002C3EB2" w:rsidRPr="00672223">
        <w:rPr>
          <w:rFonts w:ascii="Times New Roman" w:hAnsi="Times New Roman" w:cs="Times New Roman"/>
          <w:sz w:val="28"/>
          <w:szCs w:val="28"/>
        </w:rPr>
        <w:t>в МСБ за период 2016-2020</w:t>
      </w:r>
      <w:r w:rsidR="009A7E01" w:rsidRPr="00672223">
        <w:rPr>
          <w:rFonts w:ascii="Times New Roman" w:hAnsi="Times New Roman" w:cs="Times New Roman"/>
          <w:sz w:val="28"/>
          <w:szCs w:val="28"/>
        </w:rPr>
        <w:t xml:space="preserve"> гг. </w:t>
      </w:r>
      <w:r w:rsidR="00D81EDA" w:rsidRPr="00672223">
        <w:rPr>
          <w:rFonts w:ascii="Times New Roman" w:hAnsi="Times New Roman" w:cs="Times New Roman"/>
          <w:noProof/>
          <w:sz w:val="28"/>
          <w:szCs w:val="28"/>
          <w:lang w:eastAsia="ru-RU"/>
        </w:rPr>
        <w:t>[5][6]</w:t>
      </w:r>
    </w:p>
    <w:p w14:paraId="789F3338" w14:textId="77777777" w:rsidR="000A0BE3"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На основании рисунка 3 можно наблюдать, что объем портфеля МСБ падает с каждым годом. Темпы прироста портфеля остаю</w:t>
      </w:r>
      <w:r w:rsidR="00446C6B" w:rsidRPr="00672223">
        <w:rPr>
          <w:rFonts w:ascii="Times New Roman" w:hAnsi="Times New Roman" w:cs="Times New Roman"/>
          <w:sz w:val="28"/>
          <w:szCs w:val="28"/>
        </w:rPr>
        <w:t>тся очень низкими, только в 2020</w:t>
      </w:r>
      <w:r w:rsidRPr="00672223">
        <w:rPr>
          <w:rFonts w:ascii="Times New Roman" w:hAnsi="Times New Roman" w:cs="Times New Roman"/>
          <w:sz w:val="28"/>
          <w:szCs w:val="28"/>
        </w:rPr>
        <w:t xml:space="preserve"> году темпы прироста </w:t>
      </w:r>
      <w:r w:rsidR="00446C6B" w:rsidRPr="00672223">
        <w:rPr>
          <w:rFonts w:ascii="Times New Roman" w:hAnsi="Times New Roman" w:cs="Times New Roman"/>
          <w:sz w:val="28"/>
          <w:szCs w:val="28"/>
        </w:rPr>
        <w:t xml:space="preserve">увеличиваются на </w:t>
      </w:r>
      <w:r w:rsidR="00DA7FBB" w:rsidRPr="00672223">
        <w:rPr>
          <w:rFonts w:ascii="Times New Roman" w:hAnsi="Times New Roman" w:cs="Times New Roman"/>
          <w:sz w:val="28"/>
          <w:szCs w:val="28"/>
        </w:rPr>
        <w:t>38</w:t>
      </w:r>
      <w:r w:rsidR="00446C6B" w:rsidRPr="00672223">
        <w:rPr>
          <w:rFonts w:ascii="Times New Roman" w:hAnsi="Times New Roman" w:cs="Times New Roman"/>
          <w:sz w:val="28"/>
          <w:szCs w:val="28"/>
        </w:rPr>
        <w:t>% по сравнению с 2019 годом.</w:t>
      </w:r>
      <w:r w:rsidR="000A0BE3" w:rsidRPr="00672223">
        <w:rPr>
          <w:rFonts w:ascii="Times New Roman" w:hAnsi="Times New Roman" w:cs="Times New Roman"/>
          <w:sz w:val="28"/>
          <w:szCs w:val="28"/>
        </w:rPr>
        <w:t xml:space="preserve"> </w:t>
      </w:r>
    </w:p>
    <w:p w14:paraId="0E7CDD17" w14:textId="77777777" w:rsidR="00EE23E7"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Далее н</w:t>
      </w:r>
      <w:r w:rsidR="00B03EF1" w:rsidRPr="00672223">
        <w:rPr>
          <w:rFonts w:ascii="Times New Roman" w:hAnsi="Times New Roman" w:cs="Times New Roman"/>
          <w:sz w:val="28"/>
          <w:szCs w:val="28"/>
        </w:rPr>
        <w:t xml:space="preserve">еобходимо </w:t>
      </w:r>
      <w:r w:rsidR="00B5687C">
        <w:rPr>
          <w:rFonts w:ascii="Times New Roman" w:hAnsi="Times New Roman" w:cs="Times New Roman"/>
          <w:sz w:val="28"/>
          <w:szCs w:val="28"/>
        </w:rPr>
        <w:t>проанализировать объемы</w:t>
      </w:r>
      <w:r w:rsidR="00B03EF1" w:rsidRPr="00672223">
        <w:rPr>
          <w:rFonts w:ascii="Times New Roman" w:hAnsi="Times New Roman" w:cs="Times New Roman"/>
          <w:sz w:val="28"/>
          <w:szCs w:val="28"/>
        </w:rPr>
        <w:t xml:space="preserve"> выдач</w:t>
      </w:r>
      <w:r w:rsidR="00B5687C">
        <w:rPr>
          <w:rFonts w:ascii="Times New Roman" w:hAnsi="Times New Roman" w:cs="Times New Roman"/>
          <w:sz w:val="28"/>
          <w:szCs w:val="28"/>
        </w:rPr>
        <w:t xml:space="preserve">и </w:t>
      </w:r>
      <w:r w:rsidR="00B03EF1" w:rsidRPr="00672223">
        <w:rPr>
          <w:rFonts w:ascii="Times New Roman" w:hAnsi="Times New Roman" w:cs="Times New Roman"/>
          <w:sz w:val="28"/>
          <w:szCs w:val="28"/>
        </w:rPr>
        <w:t>кре</w:t>
      </w:r>
      <w:r w:rsidRPr="00672223">
        <w:rPr>
          <w:rFonts w:ascii="Times New Roman" w:hAnsi="Times New Roman" w:cs="Times New Roman"/>
          <w:sz w:val="28"/>
          <w:szCs w:val="28"/>
        </w:rPr>
        <w:t>дитов МСБ. Данные представим на рисунке 4.</w:t>
      </w:r>
    </w:p>
    <w:p w14:paraId="673A64A4" w14:textId="77777777" w:rsidR="00EE23E7" w:rsidRPr="00672223" w:rsidRDefault="00EE23E7"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noProof/>
          <w:sz w:val="28"/>
          <w:szCs w:val="28"/>
          <w:lang w:eastAsia="ru-RU"/>
        </w:rPr>
        <w:lastRenderedPageBreak/>
        <w:drawing>
          <wp:inline distT="0" distB="0" distL="0" distR="0" wp14:anchorId="7B84C396" wp14:editId="2F503BAB">
            <wp:extent cx="5361025" cy="2519917"/>
            <wp:effectExtent l="19050" t="0" r="11075"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33C4A4" w14:textId="77777777" w:rsidR="00B60E45" w:rsidRPr="00672223" w:rsidRDefault="000A3818" w:rsidP="0067222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Рисунок 4</w:t>
      </w:r>
      <w:r w:rsidR="00B60E45" w:rsidRPr="00672223">
        <w:rPr>
          <w:rFonts w:ascii="Times New Roman" w:hAnsi="Times New Roman" w:cs="Times New Roman"/>
          <w:sz w:val="28"/>
          <w:szCs w:val="28"/>
        </w:rPr>
        <w:t xml:space="preserve"> Объем кредитов, </w:t>
      </w:r>
      <w:r w:rsidR="005E0DF0" w:rsidRPr="00672223">
        <w:rPr>
          <w:rFonts w:ascii="Times New Roman" w:hAnsi="Times New Roman" w:cs="Times New Roman"/>
          <w:sz w:val="28"/>
          <w:szCs w:val="28"/>
        </w:rPr>
        <w:t>выданных МСБ за 2016-2020</w:t>
      </w:r>
      <w:r w:rsidR="00D81EDA" w:rsidRPr="00672223">
        <w:rPr>
          <w:rFonts w:ascii="Times New Roman" w:hAnsi="Times New Roman" w:cs="Times New Roman"/>
          <w:sz w:val="28"/>
          <w:szCs w:val="28"/>
        </w:rPr>
        <w:t xml:space="preserve"> гг.</w:t>
      </w:r>
      <w:r w:rsidR="00D81EDA" w:rsidRPr="00672223">
        <w:rPr>
          <w:rFonts w:ascii="Times New Roman" w:hAnsi="Times New Roman" w:cs="Times New Roman"/>
          <w:noProof/>
          <w:sz w:val="28"/>
          <w:szCs w:val="28"/>
          <w:lang w:eastAsia="ru-RU"/>
        </w:rPr>
        <w:t xml:space="preserve"> [5][6]</w:t>
      </w:r>
    </w:p>
    <w:p w14:paraId="4B0B91FB" w14:textId="77777777" w:rsidR="00B60E45" w:rsidRPr="00672223" w:rsidRDefault="00B60E45"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 xml:space="preserve">На основании рисунка 4, можно сделать вывод о том, что наибольшее количество </w:t>
      </w:r>
      <w:r w:rsidR="00DA7FBB" w:rsidRPr="00672223">
        <w:rPr>
          <w:rFonts w:ascii="Times New Roman" w:hAnsi="Times New Roman" w:cs="Times New Roman"/>
          <w:sz w:val="28"/>
          <w:szCs w:val="28"/>
        </w:rPr>
        <w:t>кредитов МСБ было выдано в 2020 году и составило 7,6</w:t>
      </w:r>
      <w:r w:rsidRPr="00672223">
        <w:rPr>
          <w:rFonts w:ascii="Times New Roman" w:hAnsi="Times New Roman" w:cs="Times New Roman"/>
          <w:sz w:val="28"/>
          <w:szCs w:val="28"/>
        </w:rPr>
        <w:t xml:space="preserve"> трлн рублей. Наименьшее количество кредитов было выдано в 2016 году и составило 5,3</w:t>
      </w:r>
      <w:r w:rsidR="009F0049" w:rsidRPr="00672223">
        <w:rPr>
          <w:rFonts w:ascii="Times New Roman" w:hAnsi="Times New Roman" w:cs="Times New Roman"/>
          <w:sz w:val="28"/>
          <w:szCs w:val="28"/>
        </w:rPr>
        <w:t xml:space="preserve"> </w:t>
      </w:r>
      <w:r w:rsidRPr="00672223">
        <w:rPr>
          <w:rFonts w:ascii="Times New Roman" w:hAnsi="Times New Roman" w:cs="Times New Roman"/>
          <w:sz w:val="28"/>
          <w:szCs w:val="28"/>
        </w:rPr>
        <w:t xml:space="preserve">трлн рублей. </w:t>
      </w:r>
    </w:p>
    <w:p w14:paraId="15EC3230" w14:textId="77777777" w:rsidR="00B60E45" w:rsidRPr="00672223" w:rsidRDefault="002B2600"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Далее в таблице 1</w:t>
      </w:r>
      <w:r w:rsidR="00B60E45" w:rsidRPr="00672223">
        <w:rPr>
          <w:rFonts w:ascii="Times New Roman" w:hAnsi="Times New Roman" w:cs="Times New Roman"/>
          <w:sz w:val="28"/>
          <w:szCs w:val="28"/>
        </w:rPr>
        <w:t xml:space="preserve"> представим кредитные ставки для МСБ.</w:t>
      </w:r>
    </w:p>
    <w:p w14:paraId="214E1369" w14:textId="77777777" w:rsidR="00B60E45" w:rsidRDefault="000A3818" w:rsidP="00672223">
      <w:pPr>
        <w:spacing w:after="0" w:line="240" w:lineRule="auto"/>
        <w:ind w:firstLine="567"/>
        <w:contextualSpacing/>
        <w:jc w:val="both"/>
        <w:rPr>
          <w:rFonts w:ascii="Times New Roman" w:hAnsi="Times New Roman" w:cs="Times New Roman"/>
          <w:noProof/>
          <w:sz w:val="28"/>
          <w:szCs w:val="28"/>
          <w:lang w:eastAsia="ru-RU"/>
        </w:rPr>
      </w:pPr>
      <w:r>
        <w:rPr>
          <w:rFonts w:ascii="Times New Roman" w:hAnsi="Times New Roman" w:cs="Times New Roman"/>
          <w:sz w:val="28"/>
          <w:szCs w:val="28"/>
        </w:rPr>
        <w:t>Таблица 2</w:t>
      </w:r>
      <w:r w:rsidR="00B60E45" w:rsidRPr="00672223">
        <w:rPr>
          <w:rFonts w:ascii="Times New Roman" w:hAnsi="Times New Roman" w:cs="Times New Roman"/>
          <w:sz w:val="28"/>
          <w:szCs w:val="28"/>
        </w:rPr>
        <w:t xml:space="preserve"> Средневзвешенные кредитные ставки для </w:t>
      </w:r>
      <w:r w:rsidR="00D81EDA" w:rsidRPr="00672223">
        <w:rPr>
          <w:rFonts w:ascii="Times New Roman" w:hAnsi="Times New Roman" w:cs="Times New Roman"/>
          <w:sz w:val="28"/>
          <w:szCs w:val="28"/>
        </w:rPr>
        <w:t>МСБ за период 2016-2020 гг.</w:t>
      </w:r>
      <w:r w:rsidR="00D81EDA" w:rsidRPr="00672223">
        <w:rPr>
          <w:rFonts w:ascii="Times New Roman" w:hAnsi="Times New Roman" w:cs="Times New Roman"/>
          <w:noProof/>
          <w:sz w:val="28"/>
          <w:szCs w:val="28"/>
          <w:lang w:eastAsia="ru-RU"/>
        </w:rPr>
        <w:t xml:space="preserve"> [5][6]</w:t>
      </w:r>
    </w:p>
    <w:tbl>
      <w:tblPr>
        <w:tblStyle w:val="a3"/>
        <w:tblW w:w="9072" w:type="dxa"/>
        <w:tblInd w:w="108" w:type="dxa"/>
        <w:tblLayout w:type="fixed"/>
        <w:tblLook w:val="04A0" w:firstRow="1" w:lastRow="0" w:firstColumn="1" w:lastColumn="0" w:noHBand="0" w:noVBand="1"/>
      </w:tblPr>
      <w:tblGrid>
        <w:gridCol w:w="2552"/>
        <w:gridCol w:w="1276"/>
        <w:gridCol w:w="1275"/>
        <w:gridCol w:w="1276"/>
        <w:gridCol w:w="1276"/>
        <w:gridCol w:w="1417"/>
      </w:tblGrid>
      <w:tr w:rsidR="001D5D91" w:rsidRPr="00530D3B" w14:paraId="34576023" w14:textId="77777777" w:rsidTr="001D5D91">
        <w:tc>
          <w:tcPr>
            <w:tcW w:w="2552" w:type="dxa"/>
          </w:tcPr>
          <w:p w14:paraId="4B4B70EB"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Показатель</w:t>
            </w:r>
          </w:p>
        </w:tc>
        <w:tc>
          <w:tcPr>
            <w:tcW w:w="1276" w:type="dxa"/>
          </w:tcPr>
          <w:p w14:paraId="2837D60B"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2016 год</w:t>
            </w:r>
          </w:p>
        </w:tc>
        <w:tc>
          <w:tcPr>
            <w:tcW w:w="1275" w:type="dxa"/>
          </w:tcPr>
          <w:p w14:paraId="011B2257"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2017 год</w:t>
            </w:r>
          </w:p>
        </w:tc>
        <w:tc>
          <w:tcPr>
            <w:tcW w:w="1276" w:type="dxa"/>
          </w:tcPr>
          <w:p w14:paraId="09011BE1"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2018 год</w:t>
            </w:r>
          </w:p>
        </w:tc>
        <w:tc>
          <w:tcPr>
            <w:tcW w:w="1276" w:type="dxa"/>
          </w:tcPr>
          <w:p w14:paraId="0A974A07"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2019 год</w:t>
            </w:r>
          </w:p>
        </w:tc>
        <w:tc>
          <w:tcPr>
            <w:tcW w:w="1417" w:type="dxa"/>
          </w:tcPr>
          <w:p w14:paraId="68FFB1DD"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2020 год</w:t>
            </w:r>
          </w:p>
        </w:tc>
      </w:tr>
      <w:tr w:rsidR="001D5D91" w:rsidRPr="00530D3B" w14:paraId="79765BCE" w14:textId="77777777" w:rsidTr="001D5D91">
        <w:trPr>
          <w:trHeight w:val="837"/>
        </w:trPr>
        <w:tc>
          <w:tcPr>
            <w:tcW w:w="2552" w:type="dxa"/>
          </w:tcPr>
          <w:p w14:paraId="170FEFA4"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Средневз-ая кред.ст. до 1 года, % год.</w:t>
            </w:r>
          </w:p>
        </w:tc>
        <w:tc>
          <w:tcPr>
            <w:tcW w:w="1276" w:type="dxa"/>
          </w:tcPr>
          <w:p w14:paraId="596920A5"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16,3</w:t>
            </w:r>
          </w:p>
        </w:tc>
        <w:tc>
          <w:tcPr>
            <w:tcW w:w="1275" w:type="dxa"/>
          </w:tcPr>
          <w:p w14:paraId="31165161"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14,8</w:t>
            </w:r>
          </w:p>
        </w:tc>
        <w:tc>
          <w:tcPr>
            <w:tcW w:w="1276" w:type="dxa"/>
          </w:tcPr>
          <w:p w14:paraId="403CBE3F" w14:textId="77777777" w:rsidR="001D5D91" w:rsidRPr="00530D3B" w:rsidRDefault="001D5D91" w:rsidP="00B5687C">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12,9</w:t>
            </w:r>
          </w:p>
        </w:tc>
        <w:tc>
          <w:tcPr>
            <w:tcW w:w="1276" w:type="dxa"/>
          </w:tcPr>
          <w:p w14:paraId="755B3FB7"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10,99</w:t>
            </w:r>
          </w:p>
        </w:tc>
        <w:tc>
          <w:tcPr>
            <w:tcW w:w="1417" w:type="dxa"/>
          </w:tcPr>
          <w:p w14:paraId="48A83E99"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8,1</w:t>
            </w:r>
          </w:p>
        </w:tc>
      </w:tr>
      <w:tr w:rsidR="001D5D91" w:rsidRPr="00530D3B" w14:paraId="1F5D7C35" w14:textId="77777777" w:rsidTr="001D5D91">
        <w:tc>
          <w:tcPr>
            <w:tcW w:w="2552" w:type="dxa"/>
          </w:tcPr>
          <w:p w14:paraId="4CACE113"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Средневз-ая кред.ст. свыше 1 года, % год.</w:t>
            </w:r>
          </w:p>
        </w:tc>
        <w:tc>
          <w:tcPr>
            <w:tcW w:w="1276" w:type="dxa"/>
          </w:tcPr>
          <w:p w14:paraId="1F437DD5"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16</w:t>
            </w:r>
          </w:p>
        </w:tc>
        <w:tc>
          <w:tcPr>
            <w:tcW w:w="1275" w:type="dxa"/>
          </w:tcPr>
          <w:p w14:paraId="7B3F0561"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14,2</w:t>
            </w:r>
          </w:p>
        </w:tc>
        <w:tc>
          <w:tcPr>
            <w:tcW w:w="1276" w:type="dxa"/>
          </w:tcPr>
          <w:p w14:paraId="3BBE5280" w14:textId="77777777" w:rsidR="001D5D91" w:rsidRPr="00530D3B" w:rsidRDefault="001D5D91" w:rsidP="00B5687C">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12,1</w:t>
            </w:r>
          </w:p>
        </w:tc>
        <w:tc>
          <w:tcPr>
            <w:tcW w:w="1276" w:type="dxa"/>
          </w:tcPr>
          <w:p w14:paraId="0F6FC082"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10,85</w:t>
            </w:r>
          </w:p>
        </w:tc>
        <w:tc>
          <w:tcPr>
            <w:tcW w:w="1417" w:type="dxa"/>
          </w:tcPr>
          <w:p w14:paraId="4D39040E"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7,62</w:t>
            </w:r>
          </w:p>
        </w:tc>
      </w:tr>
      <w:tr w:rsidR="001D5D91" w:rsidRPr="00530D3B" w14:paraId="70409815" w14:textId="77777777" w:rsidTr="001D5D91">
        <w:tc>
          <w:tcPr>
            <w:tcW w:w="2552" w:type="dxa"/>
          </w:tcPr>
          <w:p w14:paraId="6072BF0A"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Среднегод. ключевая ставка Банка России, % год.</w:t>
            </w:r>
          </w:p>
        </w:tc>
        <w:tc>
          <w:tcPr>
            <w:tcW w:w="1276" w:type="dxa"/>
          </w:tcPr>
          <w:p w14:paraId="2D17CEE8"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10,25</w:t>
            </w:r>
          </w:p>
        </w:tc>
        <w:tc>
          <w:tcPr>
            <w:tcW w:w="1275" w:type="dxa"/>
          </w:tcPr>
          <w:p w14:paraId="05695FD2"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9</w:t>
            </w:r>
          </w:p>
        </w:tc>
        <w:tc>
          <w:tcPr>
            <w:tcW w:w="1276" w:type="dxa"/>
          </w:tcPr>
          <w:p w14:paraId="368D9DFB"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7,25</w:t>
            </w:r>
          </w:p>
        </w:tc>
        <w:tc>
          <w:tcPr>
            <w:tcW w:w="1276" w:type="dxa"/>
          </w:tcPr>
          <w:p w14:paraId="71F283D7"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7</w:t>
            </w:r>
          </w:p>
        </w:tc>
        <w:tc>
          <w:tcPr>
            <w:tcW w:w="1417" w:type="dxa"/>
          </w:tcPr>
          <w:p w14:paraId="7FB8D141" w14:textId="77777777" w:rsidR="001D5D91" w:rsidRPr="00530D3B" w:rsidRDefault="001D5D91" w:rsidP="000A3818">
            <w:pPr>
              <w:pStyle w:val="a7"/>
              <w:spacing w:line="240" w:lineRule="auto"/>
              <w:ind w:left="0" w:right="0"/>
              <w:jc w:val="both"/>
              <w:rPr>
                <w:rFonts w:ascii="Times New Roman" w:hAnsi="Times New Roman"/>
                <w:noProof/>
                <w:sz w:val="28"/>
                <w:szCs w:val="28"/>
              </w:rPr>
            </w:pPr>
            <w:r w:rsidRPr="00530D3B">
              <w:rPr>
                <w:rFonts w:ascii="Times New Roman" w:hAnsi="Times New Roman"/>
                <w:noProof/>
                <w:sz w:val="28"/>
                <w:szCs w:val="28"/>
              </w:rPr>
              <w:t>6</w:t>
            </w:r>
          </w:p>
        </w:tc>
      </w:tr>
    </w:tbl>
    <w:p w14:paraId="79174600" w14:textId="77777777" w:rsidR="00B60E45" w:rsidRPr="00672223" w:rsidRDefault="00B60E45" w:rsidP="00672223">
      <w:pPr>
        <w:pStyle w:val="a7"/>
        <w:spacing w:line="240" w:lineRule="auto"/>
        <w:ind w:left="0" w:right="0" w:firstLine="567"/>
        <w:jc w:val="both"/>
        <w:rPr>
          <w:rFonts w:ascii="Times New Roman" w:hAnsi="Times New Roman" w:cs="Times New Roman"/>
          <w:noProof/>
          <w:sz w:val="28"/>
          <w:szCs w:val="28"/>
          <w:lang w:eastAsia="ru-RU"/>
        </w:rPr>
      </w:pPr>
      <w:r w:rsidRPr="00672223">
        <w:rPr>
          <w:rFonts w:ascii="Times New Roman" w:hAnsi="Times New Roman" w:cs="Times New Roman"/>
          <w:noProof/>
          <w:sz w:val="28"/>
          <w:szCs w:val="28"/>
          <w:lang w:eastAsia="ru-RU"/>
        </w:rPr>
        <w:t>На основании данных таблицы 2 составим график прироста средневзвешенных кредитных ставок и отразим её на рисунке 5.</w:t>
      </w:r>
    </w:p>
    <w:p w14:paraId="0CE56F41" w14:textId="77777777" w:rsidR="00B60E45" w:rsidRPr="00672223" w:rsidRDefault="00B60E45" w:rsidP="00672223">
      <w:pPr>
        <w:spacing w:after="0" w:line="240" w:lineRule="auto"/>
        <w:ind w:firstLine="567"/>
        <w:contextualSpacing/>
        <w:jc w:val="both"/>
        <w:rPr>
          <w:rFonts w:ascii="Times New Roman" w:hAnsi="Times New Roman" w:cs="Times New Roman"/>
          <w:sz w:val="28"/>
          <w:szCs w:val="28"/>
        </w:rPr>
      </w:pPr>
    </w:p>
    <w:p w14:paraId="58E9D0D3" w14:textId="77777777" w:rsidR="00453EF2" w:rsidRPr="00672223" w:rsidRDefault="00453EF2"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noProof/>
          <w:sz w:val="28"/>
          <w:szCs w:val="28"/>
          <w:lang w:eastAsia="ru-RU"/>
        </w:rPr>
        <w:lastRenderedPageBreak/>
        <w:drawing>
          <wp:inline distT="0" distB="0" distL="0" distR="0" wp14:anchorId="340DD16F" wp14:editId="11285FA7">
            <wp:extent cx="5499248" cy="2870791"/>
            <wp:effectExtent l="19050" t="0" r="25252" b="5759"/>
            <wp:docPr id="1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FD220B" w14:textId="77777777" w:rsidR="00B60E45" w:rsidRPr="00672223" w:rsidRDefault="000A3818" w:rsidP="00672223">
      <w:pPr>
        <w:spacing w:after="0" w:line="240" w:lineRule="auto"/>
        <w:ind w:firstLine="567"/>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Рисунок 5</w:t>
      </w:r>
      <w:r w:rsidR="00B60E45" w:rsidRPr="00672223">
        <w:rPr>
          <w:rFonts w:ascii="Times New Roman" w:hAnsi="Times New Roman" w:cs="Times New Roman"/>
          <w:noProof/>
          <w:sz w:val="28"/>
          <w:szCs w:val="28"/>
          <w:lang w:eastAsia="ru-RU"/>
        </w:rPr>
        <w:t xml:space="preserve"> Прирост средневзвешенных кредитных ст</w:t>
      </w:r>
      <w:r w:rsidR="00021A64" w:rsidRPr="00672223">
        <w:rPr>
          <w:rFonts w:ascii="Times New Roman" w:hAnsi="Times New Roman" w:cs="Times New Roman"/>
          <w:noProof/>
          <w:sz w:val="28"/>
          <w:szCs w:val="28"/>
          <w:lang w:eastAsia="ru-RU"/>
        </w:rPr>
        <w:t>авок для МСБ за период 2016-2020</w:t>
      </w:r>
      <w:r w:rsidR="00B60E45" w:rsidRPr="00672223">
        <w:rPr>
          <w:rFonts w:ascii="Times New Roman" w:hAnsi="Times New Roman" w:cs="Times New Roman"/>
          <w:noProof/>
          <w:sz w:val="28"/>
          <w:szCs w:val="28"/>
          <w:lang w:eastAsia="ru-RU"/>
        </w:rPr>
        <w:t xml:space="preserve"> гг.</w:t>
      </w:r>
      <w:r w:rsidR="00D81EDA" w:rsidRPr="00672223">
        <w:rPr>
          <w:rFonts w:ascii="Times New Roman" w:hAnsi="Times New Roman" w:cs="Times New Roman"/>
          <w:noProof/>
          <w:sz w:val="28"/>
          <w:szCs w:val="28"/>
          <w:lang w:eastAsia="ru-RU"/>
        </w:rPr>
        <w:t xml:space="preserve"> [5][6]</w:t>
      </w:r>
    </w:p>
    <w:p w14:paraId="360FCF59" w14:textId="77777777" w:rsidR="00B60E45" w:rsidRPr="00672223" w:rsidRDefault="00B60E45" w:rsidP="00672223">
      <w:pPr>
        <w:spacing w:after="0" w:line="240" w:lineRule="auto"/>
        <w:ind w:firstLine="567"/>
        <w:contextualSpacing/>
        <w:jc w:val="both"/>
        <w:rPr>
          <w:rFonts w:ascii="Times New Roman" w:hAnsi="Times New Roman" w:cs="Times New Roman"/>
          <w:noProof/>
          <w:sz w:val="28"/>
          <w:szCs w:val="28"/>
          <w:lang w:eastAsia="ru-RU"/>
        </w:rPr>
      </w:pPr>
      <w:r w:rsidRPr="00672223">
        <w:rPr>
          <w:rFonts w:ascii="Times New Roman" w:hAnsi="Times New Roman" w:cs="Times New Roman"/>
          <w:noProof/>
          <w:sz w:val="28"/>
          <w:szCs w:val="28"/>
          <w:lang w:eastAsia="ru-RU"/>
        </w:rPr>
        <w:t>На основании рисунка 5, можно сделать вывод о том, что ставки по кредитам для МСБ снижаются с каждым годом, что для кредитов до 1 года, что свыше 1 года. Это в первую очередь из-за снижения ключевой ставки Банка России.</w:t>
      </w:r>
    </w:p>
    <w:p w14:paraId="17924A86" w14:textId="77777777" w:rsidR="00B60E45" w:rsidRPr="00672223" w:rsidRDefault="00B60E45" w:rsidP="00672223">
      <w:pPr>
        <w:spacing w:after="0" w:line="240" w:lineRule="auto"/>
        <w:ind w:firstLine="567"/>
        <w:contextualSpacing/>
        <w:jc w:val="both"/>
        <w:rPr>
          <w:rFonts w:ascii="Times New Roman" w:hAnsi="Times New Roman" w:cs="Times New Roman"/>
          <w:noProof/>
          <w:sz w:val="28"/>
          <w:szCs w:val="28"/>
          <w:lang w:eastAsia="ru-RU"/>
        </w:rPr>
      </w:pPr>
      <w:r w:rsidRPr="00672223">
        <w:rPr>
          <w:rFonts w:ascii="Times New Roman" w:hAnsi="Times New Roman" w:cs="Times New Roman"/>
          <w:noProof/>
          <w:sz w:val="28"/>
          <w:szCs w:val="28"/>
          <w:lang w:eastAsia="ru-RU"/>
        </w:rPr>
        <w:t>Далее необходимо рассмотреть задолженность субъектов МСБ. Данные представим на рисунке 6.</w:t>
      </w:r>
    </w:p>
    <w:p w14:paraId="6241AB34" w14:textId="77777777" w:rsidR="00B60E45" w:rsidRPr="00672223" w:rsidRDefault="00B60E45"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noProof/>
          <w:sz w:val="28"/>
          <w:szCs w:val="28"/>
          <w:lang w:eastAsia="ru-RU"/>
        </w:rPr>
        <w:drawing>
          <wp:inline distT="0" distB="0" distL="0" distR="0" wp14:anchorId="54EA325A" wp14:editId="379A98BD">
            <wp:extent cx="5509881" cy="2402959"/>
            <wp:effectExtent l="19050" t="0" r="14619"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51D065" w14:textId="77777777" w:rsidR="00453EF2" w:rsidRPr="00672223" w:rsidRDefault="00453EF2" w:rsidP="00672223">
      <w:pPr>
        <w:spacing w:after="0" w:line="240" w:lineRule="auto"/>
        <w:ind w:firstLine="567"/>
        <w:contextualSpacing/>
        <w:jc w:val="both"/>
        <w:rPr>
          <w:rFonts w:ascii="Times New Roman" w:hAnsi="Times New Roman" w:cs="Times New Roman"/>
          <w:sz w:val="28"/>
          <w:szCs w:val="28"/>
        </w:rPr>
      </w:pPr>
    </w:p>
    <w:p w14:paraId="39B478C0" w14:textId="77777777" w:rsidR="00F34769" w:rsidRPr="00672223" w:rsidRDefault="000A3818" w:rsidP="00672223">
      <w:pPr>
        <w:spacing w:after="0" w:line="240" w:lineRule="auto"/>
        <w:ind w:firstLine="567"/>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Рисунок 6</w:t>
      </w:r>
      <w:r w:rsidR="00F34769" w:rsidRPr="00672223">
        <w:rPr>
          <w:rFonts w:ascii="Times New Roman" w:hAnsi="Times New Roman" w:cs="Times New Roman"/>
          <w:noProof/>
          <w:sz w:val="28"/>
          <w:szCs w:val="28"/>
          <w:lang w:eastAsia="ru-RU"/>
        </w:rPr>
        <w:t xml:space="preserve"> Задолженность с</w:t>
      </w:r>
      <w:r w:rsidR="00D23804" w:rsidRPr="00672223">
        <w:rPr>
          <w:rFonts w:ascii="Times New Roman" w:hAnsi="Times New Roman" w:cs="Times New Roman"/>
          <w:noProof/>
          <w:sz w:val="28"/>
          <w:szCs w:val="28"/>
          <w:lang w:eastAsia="ru-RU"/>
        </w:rPr>
        <w:t>убъектов МСБ за период 2016-2020</w:t>
      </w:r>
      <w:r w:rsidR="00F34769" w:rsidRPr="00672223">
        <w:rPr>
          <w:rFonts w:ascii="Times New Roman" w:hAnsi="Times New Roman" w:cs="Times New Roman"/>
          <w:noProof/>
          <w:sz w:val="28"/>
          <w:szCs w:val="28"/>
          <w:lang w:eastAsia="ru-RU"/>
        </w:rPr>
        <w:t xml:space="preserve"> гг.</w:t>
      </w:r>
      <w:r w:rsidR="00D81EDA" w:rsidRPr="00672223">
        <w:rPr>
          <w:rFonts w:ascii="Times New Roman" w:hAnsi="Times New Roman" w:cs="Times New Roman"/>
          <w:noProof/>
          <w:sz w:val="28"/>
          <w:szCs w:val="28"/>
          <w:lang w:eastAsia="ru-RU"/>
        </w:rPr>
        <w:t xml:space="preserve"> [5][6] </w:t>
      </w:r>
    </w:p>
    <w:p w14:paraId="5B893138" w14:textId="77777777" w:rsidR="002367C4" w:rsidRPr="002367C4" w:rsidRDefault="002367C4" w:rsidP="002367C4">
      <w:pPr>
        <w:spacing w:after="0" w:line="240" w:lineRule="auto"/>
        <w:ind w:firstLine="567"/>
        <w:contextualSpacing/>
        <w:jc w:val="both"/>
        <w:rPr>
          <w:rFonts w:ascii="Times New Roman" w:hAnsi="Times New Roman" w:cs="Times New Roman"/>
          <w:noProof/>
          <w:sz w:val="28"/>
          <w:szCs w:val="28"/>
          <w:lang w:eastAsia="ru-RU"/>
        </w:rPr>
      </w:pPr>
      <w:r w:rsidRPr="002367C4">
        <w:rPr>
          <w:rFonts w:ascii="Times New Roman" w:hAnsi="Times New Roman" w:cs="Times New Roman"/>
          <w:noProof/>
          <w:sz w:val="28"/>
          <w:szCs w:val="28"/>
          <w:lang w:eastAsia="ru-RU"/>
        </w:rPr>
        <w:t>Исходя из рисунка 6, можно сделать вывод, что задолженность МСБ снижается до 2019 года. В 2019 году благодаря высокой кредитной активности задолженность субъектов МСБ увеличилась на 11,9% по сравнению с предыдущим годом и составила 4,7 трлн рублей. Самый низкий показатель наблюдается в 2018 году и составляет 4,2 трлн рублей. В 2020 году этот показатель снизится на 8,5%.</w:t>
      </w:r>
    </w:p>
    <w:p w14:paraId="39321885" w14:textId="77777777" w:rsidR="002367C4" w:rsidRDefault="002367C4" w:rsidP="002367C4">
      <w:pPr>
        <w:spacing w:after="0" w:line="240" w:lineRule="auto"/>
        <w:ind w:firstLine="567"/>
        <w:contextualSpacing/>
        <w:jc w:val="both"/>
        <w:rPr>
          <w:rFonts w:ascii="Times New Roman" w:hAnsi="Times New Roman" w:cs="Times New Roman"/>
          <w:noProof/>
          <w:sz w:val="28"/>
          <w:szCs w:val="28"/>
          <w:lang w:eastAsia="ru-RU"/>
        </w:rPr>
      </w:pPr>
      <w:r w:rsidRPr="002367C4">
        <w:rPr>
          <w:rFonts w:ascii="Times New Roman" w:hAnsi="Times New Roman" w:cs="Times New Roman"/>
          <w:noProof/>
          <w:sz w:val="28"/>
          <w:szCs w:val="28"/>
          <w:lang w:eastAsia="ru-RU"/>
        </w:rPr>
        <w:lastRenderedPageBreak/>
        <w:t xml:space="preserve">На основании проведенного анализа можно сделать следующие выводы. Портфель кредитов МСБ к 2020 году вырос до 5,8 трлн руб. Объем выданных кредитов в 2019 году увеличился на целых 24% и составил 7,6 трлн рублей. А объем задолженности </w:t>
      </w:r>
      <w:r w:rsidR="001D5D91">
        <w:rPr>
          <w:rFonts w:ascii="Times New Roman" w:hAnsi="Times New Roman" w:cs="Times New Roman"/>
          <w:noProof/>
          <w:sz w:val="28"/>
          <w:szCs w:val="28"/>
          <w:lang w:eastAsia="ru-RU"/>
        </w:rPr>
        <w:t>МСБ</w:t>
      </w:r>
      <w:r w:rsidRPr="002367C4">
        <w:rPr>
          <w:rFonts w:ascii="Times New Roman" w:hAnsi="Times New Roman" w:cs="Times New Roman"/>
          <w:noProof/>
          <w:sz w:val="28"/>
          <w:szCs w:val="28"/>
          <w:lang w:eastAsia="ru-RU"/>
        </w:rPr>
        <w:t xml:space="preserve"> в 2020 году снизился на 8,5% и составил 4,3 трлн рублей. Ставки по выдаче кредитов снижаются с каждым годом.</w:t>
      </w:r>
    </w:p>
    <w:p w14:paraId="51E384BA" w14:textId="77777777" w:rsidR="002367C4" w:rsidRPr="002367C4" w:rsidRDefault="002367C4" w:rsidP="002367C4">
      <w:pPr>
        <w:spacing w:after="0" w:line="240" w:lineRule="auto"/>
        <w:ind w:firstLine="567"/>
        <w:contextualSpacing/>
        <w:jc w:val="both"/>
        <w:rPr>
          <w:rFonts w:ascii="Times New Roman" w:hAnsi="Times New Roman" w:cs="Times New Roman"/>
          <w:noProof/>
          <w:sz w:val="28"/>
          <w:szCs w:val="28"/>
          <w:lang w:eastAsia="ru-RU"/>
        </w:rPr>
      </w:pPr>
      <w:r w:rsidRPr="002367C4">
        <w:rPr>
          <w:rFonts w:ascii="Times New Roman" w:hAnsi="Times New Roman" w:cs="Times New Roman"/>
          <w:noProof/>
          <w:sz w:val="28"/>
          <w:szCs w:val="28"/>
          <w:lang w:eastAsia="ru-RU"/>
        </w:rPr>
        <w:t xml:space="preserve">Рынок кредитования </w:t>
      </w:r>
      <w:r w:rsidR="001D5D91">
        <w:rPr>
          <w:rFonts w:ascii="Times New Roman" w:hAnsi="Times New Roman" w:cs="Times New Roman"/>
          <w:noProof/>
          <w:sz w:val="28"/>
          <w:szCs w:val="28"/>
          <w:lang w:eastAsia="ru-RU"/>
        </w:rPr>
        <w:t>МСБ</w:t>
      </w:r>
      <w:r w:rsidRPr="002367C4">
        <w:rPr>
          <w:rFonts w:ascii="Times New Roman" w:hAnsi="Times New Roman" w:cs="Times New Roman"/>
          <w:noProof/>
          <w:sz w:val="28"/>
          <w:szCs w:val="28"/>
          <w:lang w:eastAsia="ru-RU"/>
        </w:rPr>
        <w:t xml:space="preserve"> развивается, но довольно медленными и неопределенными темпами. Государство оказывает влияние на развитие рынка кредитования </w:t>
      </w:r>
      <w:r w:rsidR="001D5D91">
        <w:rPr>
          <w:rFonts w:ascii="Times New Roman" w:hAnsi="Times New Roman" w:cs="Times New Roman"/>
          <w:noProof/>
          <w:sz w:val="28"/>
          <w:szCs w:val="28"/>
          <w:lang w:eastAsia="ru-RU"/>
        </w:rPr>
        <w:t>данного сектора</w:t>
      </w:r>
      <w:r w:rsidRPr="002367C4">
        <w:rPr>
          <w:rFonts w:ascii="Times New Roman" w:hAnsi="Times New Roman" w:cs="Times New Roman"/>
          <w:noProof/>
          <w:sz w:val="28"/>
          <w:szCs w:val="28"/>
          <w:lang w:eastAsia="ru-RU"/>
        </w:rPr>
        <w:t xml:space="preserve">. Например, в 2019 году произошло расширение программ господдержки. Объем кредитов, выданных субъектам </w:t>
      </w:r>
      <w:r w:rsidR="001D5D91">
        <w:rPr>
          <w:rFonts w:ascii="Times New Roman" w:hAnsi="Times New Roman" w:cs="Times New Roman"/>
          <w:noProof/>
          <w:sz w:val="28"/>
          <w:szCs w:val="28"/>
          <w:lang w:eastAsia="ru-RU"/>
        </w:rPr>
        <w:t>МСБ</w:t>
      </w:r>
      <w:r w:rsidRPr="002367C4">
        <w:rPr>
          <w:rFonts w:ascii="Times New Roman" w:hAnsi="Times New Roman" w:cs="Times New Roman"/>
          <w:noProof/>
          <w:sz w:val="28"/>
          <w:szCs w:val="28"/>
          <w:lang w:eastAsia="ru-RU"/>
        </w:rPr>
        <w:t xml:space="preserve"> за счет господдержки, в 2019 году был в 2,5 раза больше, чем в 2018 году. Также в целях систематизации механизмов оказания поддержки субъектам </w:t>
      </w:r>
      <w:r w:rsidR="001D5D91">
        <w:rPr>
          <w:rFonts w:ascii="Times New Roman" w:hAnsi="Times New Roman" w:cs="Times New Roman"/>
          <w:noProof/>
          <w:sz w:val="28"/>
          <w:szCs w:val="28"/>
          <w:lang w:eastAsia="ru-RU"/>
        </w:rPr>
        <w:t>МСБ</w:t>
      </w:r>
      <w:r w:rsidRPr="002367C4">
        <w:rPr>
          <w:rFonts w:ascii="Times New Roman" w:hAnsi="Times New Roman" w:cs="Times New Roman"/>
          <w:noProof/>
          <w:sz w:val="28"/>
          <w:szCs w:val="28"/>
          <w:lang w:eastAsia="ru-RU"/>
        </w:rPr>
        <w:t xml:space="preserve"> в 2019 году был принят федеральный закон, согласно которому к декабрю 2020 года был подготовлен открытый единый реестр субъектов малого и среднего предпринимательства-получателей поддержки, что повысило прозрачность информации для всех участников рынка. [9]</w:t>
      </w:r>
    </w:p>
    <w:p w14:paraId="2067A851" w14:textId="77777777" w:rsidR="002367C4" w:rsidRDefault="002367C4" w:rsidP="002367C4">
      <w:pPr>
        <w:spacing w:after="0" w:line="240" w:lineRule="auto"/>
        <w:ind w:firstLine="567"/>
        <w:contextualSpacing/>
        <w:jc w:val="both"/>
        <w:rPr>
          <w:rFonts w:ascii="Times New Roman" w:hAnsi="Times New Roman" w:cs="Times New Roman"/>
          <w:noProof/>
          <w:sz w:val="28"/>
          <w:szCs w:val="28"/>
          <w:lang w:eastAsia="ru-RU"/>
        </w:rPr>
      </w:pPr>
      <w:r w:rsidRPr="002367C4">
        <w:rPr>
          <w:rFonts w:ascii="Times New Roman" w:hAnsi="Times New Roman" w:cs="Times New Roman"/>
          <w:noProof/>
          <w:sz w:val="28"/>
          <w:szCs w:val="28"/>
          <w:lang w:eastAsia="ru-RU"/>
        </w:rPr>
        <w:t>По итогам 2020 года основные показатели деятельности банков увеличились. Банки даже в разгар экономического кризиса, вызванного пандемией коронавируса, продолжали осуществлять расчеты с клиентами и наращивали корпоративное кредитование. Большое содействие банкам в преодолении экономического кризиса оказало регулятивное смягчение, введенное Банком России весной 2020 года.[7]</w:t>
      </w:r>
    </w:p>
    <w:p w14:paraId="43B0EF9C" w14:textId="77777777" w:rsidR="00161ADD" w:rsidRPr="00672223" w:rsidRDefault="008035E4" w:rsidP="002367C4">
      <w:pPr>
        <w:spacing w:after="0" w:line="240" w:lineRule="auto"/>
        <w:ind w:firstLine="567"/>
        <w:contextualSpacing/>
        <w:jc w:val="both"/>
        <w:rPr>
          <w:rFonts w:ascii="Times New Roman" w:hAnsi="Times New Roman" w:cs="Times New Roman"/>
          <w:b/>
          <w:sz w:val="28"/>
          <w:szCs w:val="28"/>
        </w:rPr>
      </w:pPr>
      <w:r w:rsidRPr="00672223">
        <w:rPr>
          <w:rFonts w:ascii="Times New Roman" w:hAnsi="Times New Roman" w:cs="Times New Roman"/>
          <w:b/>
          <w:sz w:val="28"/>
          <w:szCs w:val="28"/>
        </w:rPr>
        <w:t>Заключение</w:t>
      </w:r>
    </w:p>
    <w:p w14:paraId="75E518BF" w14:textId="77777777" w:rsidR="00934F41" w:rsidRPr="00672223" w:rsidRDefault="00934F41"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 xml:space="preserve">Данный вид кредитования, несомненно, гораздо более рискован по сравнению с </w:t>
      </w:r>
      <w:r w:rsidR="00F249DE">
        <w:rPr>
          <w:rFonts w:ascii="Times New Roman" w:hAnsi="Times New Roman" w:cs="Times New Roman"/>
          <w:sz w:val="28"/>
          <w:szCs w:val="28"/>
        </w:rPr>
        <w:t xml:space="preserve">кредитованием </w:t>
      </w:r>
      <w:r w:rsidRPr="00672223">
        <w:rPr>
          <w:rFonts w:ascii="Times New Roman" w:hAnsi="Times New Roman" w:cs="Times New Roman"/>
          <w:sz w:val="28"/>
          <w:szCs w:val="28"/>
        </w:rPr>
        <w:t>крупн</w:t>
      </w:r>
      <w:r w:rsidR="00F249DE">
        <w:rPr>
          <w:rFonts w:ascii="Times New Roman" w:hAnsi="Times New Roman" w:cs="Times New Roman"/>
          <w:sz w:val="28"/>
          <w:szCs w:val="28"/>
        </w:rPr>
        <w:t>ого бизнеса</w:t>
      </w:r>
      <w:r w:rsidRPr="00672223">
        <w:rPr>
          <w:rFonts w:ascii="Times New Roman" w:hAnsi="Times New Roman" w:cs="Times New Roman"/>
          <w:sz w:val="28"/>
          <w:szCs w:val="28"/>
        </w:rPr>
        <w:t xml:space="preserve">, как для самого банка, так и для бизнесменов. Это также сложный механизм взаимоотношений банков с представителями </w:t>
      </w:r>
      <w:r w:rsidR="00F249DE">
        <w:rPr>
          <w:rFonts w:ascii="Times New Roman" w:hAnsi="Times New Roman" w:cs="Times New Roman"/>
          <w:sz w:val="28"/>
          <w:szCs w:val="28"/>
        </w:rPr>
        <w:t>МСБ</w:t>
      </w:r>
      <w:r w:rsidRPr="00672223">
        <w:rPr>
          <w:rFonts w:ascii="Times New Roman" w:hAnsi="Times New Roman" w:cs="Times New Roman"/>
          <w:sz w:val="28"/>
          <w:szCs w:val="28"/>
        </w:rPr>
        <w:t>.</w:t>
      </w:r>
    </w:p>
    <w:p w14:paraId="70F358DC" w14:textId="77777777" w:rsidR="004D64F9" w:rsidRPr="00672223" w:rsidRDefault="00934F41" w:rsidP="00672223">
      <w:pPr>
        <w:spacing w:after="0" w:line="240" w:lineRule="auto"/>
        <w:ind w:firstLine="567"/>
        <w:contextualSpacing/>
        <w:jc w:val="both"/>
        <w:rPr>
          <w:rFonts w:ascii="Times New Roman" w:hAnsi="Times New Roman" w:cs="Times New Roman"/>
          <w:sz w:val="28"/>
          <w:szCs w:val="28"/>
        </w:rPr>
      </w:pPr>
      <w:r w:rsidRPr="00672223">
        <w:rPr>
          <w:rFonts w:ascii="Times New Roman" w:hAnsi="Times New Roman" w:cs="Times New Roman"/>
          <w:sz w:val="28"/>
          <w:szCs w:val="28"/>
        </w:rPr>
        <w:t>Несмотря на имеющиеся проблемы,</w:t>
      </w:r>
      <w:r w:rsidR="004D64F9" w:rsidRPr="00672223">
        <w:rPr>
          <w:rFonts w:ascii="Times New Roman" w:hAnsi="Times New Roman" w:cs="Times New Roman"/>
          <w:sz w:val="28"/>
          <w:szCs w:val="28"/>
        </w:rPr>
        <w:t xml:space="preserve"> рынок кредитования малого и среднего бизнеса развивается, но достаточно медленными и неуверенными темпами. Государство </w:t>
      </w:r>
      <w:r w:rsidR="00F249DE">
        <w:rPr>
          <w:rFonts w:ascii="Times New Roman" w:hAnsi="Times New Roman" w:cs="Times New Roman"/>
          <w:sz w:val="28"/>
          <w:szCs w:val="28"/>
        </w:rPr>
        <w:t xml:space="preserve">активно </w:t>
      </w:r>
      <w:r w:rsidRPr="00672223">
        <w:rPr>
          <w:rFonts w:ascii="Times New Roman" w:hAnsi="Times New Roman" w:cs="Times New Roman"/>
          <w:sz w:val="28"/>
          <w:szCs w:val="28"/>
        </w:rPr>
        <w:t>стимулирует</w:t>
      </w:r>
      <w:r w:rsidR="004D64F9" w:rsidRPr="00672223">
        <w:rPr>
          <w:rFonts w:ascii="Times New Roman" w:hAnsi="Times New Roman" w:cs="Times New Roman"/>
          <w:sz w:val="28"/>
          <w:szCs w:val="28"/>
        </w:rPr>
        <w:t xml:space="preserve"> развитие </w:t>
      </w:r>
      <w:r w:rsidR="00F249DE">
        <w:rPr>
          <w:rFonts w:ascii="Times New Roman" w:hAnsi="Times New Roman" w:cs="Times New Roman"/>
          <w:sz w:val="28"/>
          <w:szCs w:val="28"/>
        </w:rPr>
        <w:t>МСБ</w:t>
      </w:r>
      <w:r w:rsidR="00112D1E">
        <w:rPr>
          <w:rFonts w:ascii="Times New Roman" w:hAnsi="Times New Roman" w:cs="Times New Roman"/>
          <w:sz w:val="28"/>
          <w:szCs w:val="28"/>
        </w:rPr>
        <w:t xml:space="preserve"> и в том числе его кредитования. К</w:t>
      </w:r>
      <w:r w:rsidR="00F249DE">
        <w:rPr>
          <w:rFonts w:ascii="Times New Roman" w:hAnsi="Times New Roman" w:cs="Times New Roman"/>
          <w:sz w:val="28"/>
          <w:szCs w:val="28"/>
        </w:rPr>
        <w:t>ак показывает практика</w:t>
      </w:r>
      <w:r w:rsidR="00112D1E">
        <w:rPr>
          <w:rFonts w:ascii="Times New Roman" w:hAnsi="Times New Roman" w:cs="Times New Roman"/>
          <w:sz w:val="28"/>
          <w:szCs w:val="28"/>
        </w:rPr>
        <w:t>,</w:t>
      </w:r>
      <w:r w:rsidR="00F249DE">
        <w:rPr>
          <w:rFonts w:ascii="Times New Roman" w:hAnsi="Times New Roman" w:cs="Times New Roman"/>
          <w:sz w:val="28"/>
          <w:szCs w:val="28"/>
        </w:rPr>
        <w:t xml:space="preserve"> результаты </w:t>
      </w:r>
      <w:r w:rsidR="00112D1E">
        <w:rPr>
          <w:rFonts w:ascii="Times New Roman" w:hAnsi="Times New Roman" w:cs="Times New Roman"/>
          <w:sz w:val="28"/>
          <w:szCs w:val="28"/>
        </w:rPr>
        <w:t xml:space="preserve">положительны, но действуют не достаточно эффективно, например, в силу бюрократизма и </w:t>
      </w:r>
      <w:proofErr w:type="spellStart"/>
      <w:r w:rsidR="00112D1E">
        <w:rPr>
          <w:rFonts w:ascii="Times New Roman" w:hAnsi="Times New Roman" w:cs="Times New Roman"/>
          <w:sz w:val="28"/>
          <w:szCs w:val="28"/>
        </w:rPr>
        <w:t>зарегулированности</w:t>
      </w:r>
      <w:proofErr w:type="spellEnd"/>
      <w:r w:rsidR="00112D1E">
        <w:rPr>
          <w:rFonts w:ascii="Times New Roman" w:hAnsi="Times New Roman" w:cs="Times New Roman"/>
          <w:sz w:val="28"/>
          <w:szCs w:val="28"/>
        </w:rPr>
        <w:t xml:space="preserve"> процессов получения поддержки или организации государственно-частного партнерства.</w:t>
      </w:r>
      <w:r w:rsidR="00F249DE">
        <w:rPr>
          <w:rFonts w:ascii="Times New Roman" w:hAnsi="Times New Roman" w:cs="Times New Roman"/>
          <w:sz w:val="28"/>
          <w:szCs w:val="28"/>
        </w:rPr>
        <w:t xml:space="preserve"> </w:t>
      </w:r>
    </w:p>
    <w:p w14:paraId="42A4EB54" w14:textId="77777777" w:rsidR="00F711A1" w:rsidRPr="00672223" w:rsidRDefault="00112D1E" w:rsidP="00432A9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Поэтому,  на наш взгляд</w:t>
      </w:r>
      <w:r w:rsidR="00A0703D" w:rsidRPr="00672223">
        <w:rPr>
          <w:rFonts w:ascii="Times New Roman" w:hAnsi="Times New Roman" w:cs="Times New Roman"/>
          <w:sz w:val="28"/>
          <w:szCs w:val="28"/>
        </w:rPr>
        <w:t xml:space="preserve">, необходим комплексный и системный подход. Основной задачей банков в контексте развития кредитования является повышение доверия предпринимателей к своим банковским продуктам. </w:t>
      </w:r>
    </w:p>
    <w:p w14:paraId="4BE4D5A6" w14:textId="77777777" w:rsidR="0024205B" w:rsidRPr="0024205B" w:rsidRDefault="0024205B" w:rsidP="0024205B">
      <w:pPr>
        <w:pStyle w:val="a7"/>
        <w:spacing w:line="240" w:lineRule="auto"/>
        <w:ind w:left="142" w:right="0"/>
        <w:contextualSpacing w:val="0"/>
        <w:jc w:val="center"/>
        <w:rPr>
          <w:rFonts w:ascii="Times New Roman" w:hAnsi="Times New Roman" w:cs="Times New Roman"/>
          <w:sz w:val="28"/>
          <w:szCs w:val="28"/>
        </w:rPr>
      </w:pPr>
      <w:r w:rsidRPr="0024205B">
        <w:rPr>
          <w:rFonts w:ascii="Times New Roman" w:hAnsi="Times New Roman" w:cs="Times New Roman"/>
          <w:sz w:val="28"/>
          <w:szCs w:val="28"/>
        </w:rPr>
        <w:t>Библиографический список</w:t>
      </w:r>
    </w:p>
    <w:p w14:paraId="24E51CDE" w14:textId="77777777" w:rsidR="004D204A" w:rsidRPr="00F711A1" w:rsidRDefault="004F494D" w:rsidP="004F494D">
      <w:pPr>
        <w:pStyle w:val="a7"/>
        <w:spacing w:line="240" w:lineRule="auto"/>
        <w:ind w:left="142" w:right="0"/>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00EB293E" w:rsidRPr="00F711A1">
        <w:rPr>
          <w:rFonts w:ascii="Times New Roman" w:hAnsi="Times New Roman" w:cs="Times New Roman"/>
          <w:sz w:val="28"/>
          <w:szCs w:val="28"/>
        </w:rPr>
        <w:t xml:space="preserve">Малый, средний и крупный бизнес: что это такое, определения, отличия </w:t>
      </w:r>
      <w:r w:rsidR="00EF5FCC" w:rsidRPr="00F711A1">
        <w:rPr>
          <w:rFonts w:ascii="Times New Roman" w:hAnsi="Times New Roman" w:cs="Times New Roman"/>
          <w:sz w:val="28"/>
          <w:szCs w:val="28"/>
        </w:rPr>
        <w:t>[Электронный ресурс]</w:t>
      </w:r>
      <w:r w:rsidR="000034FD" w:rsidRPr="000034FD">
        <w:rPr>
          <w:rFonts w:ascii="Times New Roman" w:hAnsi="Times New Roman" w:cs="Times New Roman"/>
          <w:sz w:val="28"/>
          <w:szCs w:val="28"/>
        </w:rPr>
        <w:t xml:space="preserve"> </w:t>
      </w:r>
      <w:hyperlink r:id="rId11" w:history="1">
        <w:r w:rsidR="000034FD" w:rsidRPr="00D169C6">
          <w:rPr>
            <w:rStyle w:val="a6"/>
            <w:rFonts w:ascii="Times New Roman" w:hAnsi="Times New Roman"/>
            <w:sz w:val="28"/>
            <w:szCs w:val="28"/>
            <w:lang w:val="en-US"/>
          </w:rPr>
          <w:t>URL</w:t>
        </w:r>
        <w:r w:rsidR="000034FD" w:rsidRPr="00D169C6">
          <w:rPr>
            <w:rStyle w:val="a6"/>
            <w:rFonts w:ascii="Times New Roman" w:hAnsi="Times New Roman"/>
            <w:sz w:val="28"/>
            <w:szCs w:val="28"/>
          </w:rPr>
          <w:t>: https://www.cleverence.ru/articles/</w:t>
        </w:r>
      </w:hyperlink>
      <w:r w:rsidR="000034FD" w:rsidRPr="000034FD">
        <w:rPr>
          <w:rFonts w:ascii="Times New Roman" w:hAnsi="Times New Roman" w:cs="Times New Roman"/>
          <w:sz w:val="28"/>
          <w:szCs w:val="28"/>
        </w:rPr>
        <w:t xml:space="preserve"> </w:t>
      </w:r>
      <w:r w:rsidR="00EB293E" w:rsidRPr="00F711A1">
        <w:rPr>
          <w:rFonts w:ascii="Times New Roman" w:hAnsi="Times New Roman" w:cs="Times New Roman"/>
          <w:sz w:val="28"/>
          <w:szCs w:val="28"/>
        </w:rPr>
        <w:lastRenderedPageBreak/>
        <w:t>biznes/malyy-sredniy-i-krupnyy-biznes-chto-eto-takoe-opredeleniya-otlichiya</w:t>
      </w:r>
      <w:r w:rsidR="00EF5FCC" w:rsidRPr="00F711A1">
        <w:rPr>
          <w:rFonts w:ascii="Times New Roman" w:hAnsi="Times New Roman" w:cs="Times New Roman"/>
          <w:sz w:val="28"/>
          <w:szCs w:val="28"/>
        </w:rPr>
        <w:t xml:space="preserve">  (Дата обращения 01.02.2021)</w:t>
      </w:r>
    </w:p>
    <w:p w14:paraId="04914925" w14:textId="77777777" w:rsidR="00EF5FCC" w:rsidRPr="00F711A1" w:rsidRDefault="004F494D" w:rsidP="004F494D">
      <w:pPr>
        <w:pStyle w:val="a7"/>
        <w:spacing w:line="240" w:lineRule="auto"/>
        <w:ind w:left="142" w:right="0"/>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5E2C06">
        <w:rPr>
          <w:rFonts w:ascii="Times New Roman" w:hAnsi="Times New Roman" w:cs="Times New Roman"/>
          <w:sz w:val="28"/>
          <w:szCs w:val="28"/>
        </w:rPr>
        <w:t xml:space="preserve">Кредитование малого бизнеса: какие условия выдвигают банки </w:t>
      </w:r>
      <w:r w:rsidR="003A1872">
        <w:rPr>
          <w:rFonts w:ascii="Times New Roman" w:hAnsi="Times New Roman" w:cs="Times New Roman"/>
          <w:sz w:val="28"/>
          <w:szCs w:val="28"/>
        </w:rPr>
        <w:t>/</w:t>
      </w:r>
      <w:proofErr w:type="spellStart"/>
      <w:r w:rsidR="003A1872">
        <w:rPr>
          <w:rFonts w:ascii="Times New Roman" w:hAnsi="Times New Roman" w:cs="Times New Roman"/>
          <w:sz w:val="28"/>
          <w:szCs w:val="28"/>
        </w:rPr>
        <w:t>И.Климакина</w:t>
      </w:r>
      <w:proofErr w:type="spellEnd"/>
      <w:r w:rsidR="003A1872">
        <w:rPr>
          <w:rFonts w:ascii="Times New Roman" w:hAnsi="Times New Roman" w:cs="Times New Roman"/>
          <w:sz w:val="28"/>
          <w:szCs w:val="28"/>
        </w:rPr>
        <w:t>//</w:t>
      </w:r>
      <w:r w:rsidR="003C671C" w:rsidRPr="00F711A1">
        <w:rPr>
          <w:rFonts w:ascii="Times New Roman" w:hAnsi="Times New Roman" w:cs="Times New Roman"/>
          <w:sz w:val="28"/>
          <w:szCs w:val="28"/>
        </w:rPr>
        <w:t xml:space="preserve"> </w:t>
      </w:r>
      <w:r w:rsidR="00EF5FCC" w:rsidRPr="00F711A1">
        <w:rPr>
          <w:rFonts w:ascii="Times New Roman" w:hAnsi="Times New Roman" w:cs="Times New Roman"/>
          <w:sz w:val="28"/>
          <w:szCs w:val="28"/>
        </w:rPr>
        <w:t xml:space="preserve">[Электронный </w:t>
      </w:r>
      <w:r w:rsidR="00EF5FCC" w:rsidRPr="000034FD">
        <w:rPr>
          <w:rFonts w:ascii="Times New Roman" w:hAnsi="Times New Roman" w:cs="Times New Roman"/>
          <w:sz w:val="28"/>
          <w:szCs w:val="28"/>
        </w:rPr>
        <w:t xml:space="preserve">ресурс] </w:t>
      </w:r>
      <w:r w:rsidR="000034FD" w:rsidRPr="000034FD">
        <w:rPr>
          <w:rFonts w:ascii="Times New Roman" w:hAnsi="Times New Roman" w:cs="Times New Roman"/>
          <w:sz w:val="28"/>
          <w:szCs w:val="28"/>
        </w:rPr>
        <w:t xml:space="preserve">URL: </w:t>
      </w:r>
      <w:hyperlink r:id="rId12" w:history="1">
        <w:r w:rsidR="000034FD" w:rsidRPr="000034FD">
          <w:rPr>
            <w:rStyle w:val="a6"/>
            <w:rFonts w:ascii="Times New Roman" w:hAnsi="Times New Roman"/>
            <w:color w:val="auto"/>
            <w:sz w:val="28"/>
            <w:szCs w:val="28"/>
            <w:u w:val="none"/>
          </w:rPr>
          <w:t>https://www.business.ru/article/</w:t>
        </w:r>
      </w:hyperlink>
      <w:r w:rsidR="000034FD" w:rsidRPr="000034FD">
        <w:rPr>
          <w:rFonts w:ascii="Times New Roman" w:hAnsi="Times New Roman" w:cs="Times New Roman"/>
          <w:sz w:val="28"/>
          <w:szCs w:val="28"/>
        </w:rPr>
        <w:t xml:space="preserve"> </w:t>
      </w:r>
      <w:r w:rsidR="009A5003" w:rsidRPr="00F711A1">
        <w:rPr>
          <w:rFonts w:ascii="Times New Roman" w:hAnsi="Times New Roman" w:cs="Times New Roman"/>
          <w:sz w:val="28"/>
          <w:szCs w:val="28"/>
        </w:rPr>
        <w:t>1353-kreditovanie-malogo-biznesa</w:t>
      </w:r>
      <w:r w:rsidR="00EF5FCC" w:rsidRPr="00F711A1">
        <w:rPr>
          <w:rFonts w:ascii="Times New Roman" w:hAnsi="Times New Roman" w:cs="Times New Roman"/>
          <w:sz w:val="28"/>
          <w:szCs w:val="28"/>
        </w:rPr>
        <w:t xml:space="preserve"> (Дата обращения 01.02.2021)  </w:t>
      </w:r>
    </w:p>
    <w:p w14:paraId="54AFB169" w14:textId="77777777" w:rsidR="00EF5FCC" w:rsidRPr="00F711A1" w:rsidRDefault="004F494D" w:rsidP="004F494D">
      <w:pPr>
        <w:pStyle w:val="a7"/>
        <w:spacing w:line="240" w:lineRule="auto"/>
        <w:ind w:left="142" w:right="0"/>
        <w:contextualSpacing w:val="0"/>
        <w:jc w:val="both"/>
        <w:rPr>
          <w:rFonts w:ascii="Times New Roman" w:eastAsiaTheme="majorEastAsia" w:hAnsi="Times New Roman" w:cs="Times New Roman"/>
          <w:sz w:val="28"/>
          <w:szCs w:val="28"/>
        </w:rPr>
      </w:pPr>
      <w:r>
        <w:rPr>
          <w:rFonts w:ascii="Times New Roman" w:hAnsi="Times New Roman" w:cs="Times New Roman"/>
          <w:sz w:val="28"/>
          <w:szCs w:val="28"/>
        </w:rPr>
        <w:t xml:space="preserve">3. </w:t>
      </w:r>
      <w:r w:rsidR="009A5003" w:rsidRPr="00F711A1">
        <w:rPr>
          <w:rFonts w:ascii="Times New Roman" w:hAnsi="Times New Roman" w:cs="Times New Roman"/>
          <w:sz w:val="28"/>
          <w:szCs w:val="28"/>
        </w:rPr>
        <w:t>Современное состояние кредитования мал</w:t>
      </w:r>
      <w:r w:rsidR="00172D81">
        <w:rPr>
          <w:rFonts w:ascii="Times New Roman" w:hAnsi="Times New Roman" w:cs="Times New Roman"/>
          <w:sz w:val="28"/>
          <w:szCs w:val="28"/>
        </w:rPr>
        <w:t xml:space="preserve">ого и среднего бизнеса в России /Н.В.Климова// </w:t>
      </w:r>
      <w:r w:rsidR="00EF5FCC" w:rsidRPr="00F711A1">
        <w:rPr>
          <w:rFonts w:ascii="Times New Roman" w:eastAsiaTheme="majorEastAsia" w:hAnsi="Times New Roman" w:cs="Times New Roman"/>
          <w:sz w:val="28"/>
          <w:szCs w:val="28"/>
        </w:rPr>
        <w:t>[Электронный ресурс]</w:t>
      </w:r>
      <w:r w:rsidR="004F111C" w:rsidRPr="00F711A1">
        <w:rPr>
          <w:rFonts w:ascii="Times New Roman" w:hAnsi="Times New Roman" w:cs="Times New Roman"/>
          <w:sz w:val="28"/>
          <w:szCs w:val="28"/>
        </w:rPr>
        <w:t xml:space="preserve"> </w:t>
      </w:r>
      <w:r w:rsidR="000034FD" w:rsidRPr="000034FD">
        <w:rPr>
          <w:rFonts w:ascii="Times New Roman" w:hAnsi="Times New Roman" w:cs="Times New Roman"/>
          <w:sz w:val="28"/>
          <w:szCs w:val="28"/>
        </w:rPr>
        <w:t xml:space="preserve">URL: </w:t>
      </w:r>
      <w:hyperlink r:id="rId13" w:history="1">
        <w:r w:rsidR="00CB49C7" w:rsidRPr="00CB49C7">
          <w:rPr>
            <w:rStyle w:val="a6"/>
            <w:rFonts w:ascii="Times New Roman" w:hAnsi="Times New Roman"/>
            <w:color w:val="auto"/>
            <w:sz w:val="28"/>
            <w:szCs w:val="28"/>
            <w:u w:val="none"/>
          </w:rPr>
          <w:t>https://cyberleninka.ru/</w:t>
        </w:r>
      </w:hyperlink>
      <w:r w:rsidR="00CB49C7" w:rsidRPr="00CB49C7">
        <w:rPr>
          <w:rFonts w:ascii="Times New Roman" w:hAnsi="Times New Roman" w:cs="Times New Roman"/>
          <w:sz w:val="28"/>
          <w:szCs w:val="28"/>
        </w:rPr>
        <w:t xml:space="preserve"> </w:t>
      </w:r>
      <w:r w:rsidR="004F111C" w:rsidRPr="00F711A1">
        <w:rPr>
          <w:rFonts w:ascii="Times New Roman" w:hAnsi="Times New Roman" w:cs="Times New Roman"/>
          <w:sz w:val="28"/>
          <w:szCs w:val="28"/>
        </w:rPr>
        <w:t>article/n/sovremennoe-sostoyanie-kreditovaniya-malogo-i-srednego-biznesa-v-rossii/viewer</w:t>
      </w:r>
      <w:r w:rsidR="00EF5FCC" w:rsidRPr="00F711A1">
        <w:rPr>
          <w:rFonts w:ascii="Times New Roman" w:eastAsiaTheme="majorEastAsia" w:hAnsi="Times New Roman" w:cs="Times New Roman"/>
          <w:sz w:val="28"/>
          <w:szCs w:val="28"/>
        </w:rPr>
        <w:t xml:space="preserve"> (Дата обращения 15.02.2021)  </w:t>
      </w:r>
    </w:p>
    <w:p w14:paraId="7335DFFC" w14:textId="77777777" w:rsidR="00EF5FCC" w:rsidRPr="00F711A1" w:rsidRDefault="004F494D" w:rsidP="004F494D">
      <w:pPr>
        <w:pStyle w:val="a7"/>
        <w:spacing w:line="240" w:lineRule="auto"/>
        <w:ind w:left="142" w:right="0"/>
        <w:contextualSpacing w:val="0"/>
        <w:jc w:val="both"/>
        <w:rPr>
          <w:rFonts w:ascii="Times New Roman" w:hAnsi="Times New Roman" w:cs="Times New Roman"/>
          <w:sz w:val="28"/>
          <w:szCs w:val="28"/>
        </w:rPr>
      </w:pPr>
      <w:r>
        <w:rPr>
          <w:rFonts w:ascii="Times New Roman" w:hAnsi="Times New Roman" w:cs="Times New Roman"/>
          <w:sz w:val="28"/>
          <w:szCs w:val="28"/>
        </w:rPr>
        <w:t xml:space="preserve">4. </w:t>
      </w:r>
      <w:r w:rsidR="00D71DD9">
        <w:rPr>
          <w:rFonts w:ascii="Times New Roman" w:hAnsi="Times New Roman" w:cs="Times New Roman"/>
          <w:sz w:val="28"/>
          <w:szCs w:val="28"/>
        </w:rPr>
        <w:t>Риски при кредитовании</w:t>
      </w:r>
      <w:r w:rsidR="006438AC" w:rsidRPr="00F711A1">
        <w:rPr>
          <w:rFonts w:ascii="Times New Roman" w:hAnsi="Times New Roman" w:cs="Times New Roman"/>
          <w:sz w:val="28"/>
          <w:szCs w:val="28"/>
        </w:rPr>
        <w:t xml:space="preserve"> малого бизнеса </w:t>
      </w:r>
      <w:r w:rsidR="009950D1" w:rsidRPr="00F711A1">
        <w:rPr>
          <w:rFonts w:ascii="Times New Roman" w:hAnsi="Times New Roman" w:cs="Times New Roman"/>
          <w:sz w:val="28"/>
          <w:szCs w:val="28"/>
        </w:rPr>
        <w:t>[</w:t>
      </w:r>
      <w:r w:rsidR="00EF5FCC" w:rsidRPr="00F711A1">
        <w:rPr>
          <w:rFonts w:ascii="Times New Roman" w:hAnsi="Times New Roman" w:cs="Times New Roman"/>
          <w:sz w:val="28"/>
          <w:szCs w:val="28"/>
        </w:rPr>
        <w:t>Электронный ресурс</w:t>
      </w:r>
      <w:r w:rsidR="009950D1" w:rsidRPr="00F711A1">
        <w:rPr>
          <w:rFonts w:ascii="Times New Roman" w:hAnsi="Times New Roman" w:cs="Times New Roman"/>
          <w:sz w:val="28"/>
          <w:szCs w:val="28"/>
        </w:rPr>
        <w:t>]</w:t>
      </w:r>
      <w:r w:rsidR="00D81EDA" w:rsidRPr="00F711A1">
        <w:rPr>
          <w:rFonts w:ascii="Times New Roman" w:hAnsi="Times New Roman" w:cs="Times New Roman"/>
          <w:sz w:val="28"/>
          <w:szCs w:val="28"/>
        </w:rPr>
        <w:t xml:space="preserve"> </w:t>
      </w:r>
      <w:r w:rsidR="000034FD" w:rsidRPr="000034FD">
        <w:rPr>
          <w:rFonts w:ascii="Times New Roman" w:hAnsi="Times New Roman" w:cs="Times New Roman"/>
          <w:sz w:val="28"/>
          <w:szCs w:val="28"/>
        </w:rPr>
        <w:t xml:space="preserve">URL: </w:t>
      </w:r>
      <w:r w:rsidR="00D81EDA" w:rsidRPr="00F711A1">
        <w:rPr>
          <w:rFonts w:ascii="Times New Roman" w:hAnsi="Times New Roman" w:cs="Times New Roman"/>
          <w:sz w:val="28"/>
          <w:szCs w:val="28"/>
        </w:rPr>
        <w:t>https://glory.rin.ru/news/285942/Vozmozhnye_riski_pri_kreditovanii_malogo_biznesa.html</w:t>
      </w:r>
      <w:r w:rsidR="00EF5FCC" w:rsidRPr="00F711A1">
        <w:rPr>
          <w:rFonts w:ascii="Times New Roman" w:hAnsi="Times New Roman" w:cs="Times New Roman"/>
          <w:sz w:val="28"/>
          <w:szCs w:val="28"/>
        </w:rPr>
        <w:t xml:space="preserve"> (Дата обращения 12.02.2021)  </w:t>
      </w:r>
    </w:p>
    <w:p w14:paraId="74DEB464" w14:textId="77777777" w:rsidR="009950D1" w:rsidRPr="00F711A1" w:rsidRDefault="004F494D" w:rsidP="004F494D">
      <w:pPr>
        <w:pStyle w:val="a7"/>
        <w:spacing w:line="240" w:lineRule="auto"/>
        <w:ind w:left="142" w:right="0"/>
        <w:contextualSpacing w:val="0"/>
        <w:jc w:val="both"/>
        <w:rPr>
          <w:rFonts w:ascii="Times New Roman" w:hAnsi="Times New Roman" w:cs="Times New Roman"/>
          <w:sz w:val="28"/>
          <w:szCs w:val="28"/>
        </w:rPr>
      </w:pPr>
      <w:r>
        <w:rPr>
          <w:rFonts w:ascii="Times New Roman" w:hAnsi="Times New Roman" w:cs="Times New Roman"/>
          <w:sz w:val="28"/>
          <w:szCs w:val="28"/>
        </w:rPr>
        <w:t xml:space="preserve">5. </w:t>
      </w:r>
      <w:r w:rsidR="00FA7AC4" w:rsidRPr="00F711A1">
        <w:rPr>
          <w:rFonts w:ascii="Times New Roman" w:hAnsi="Times New Roman" w:cs="Times New Roman"/>
          <w:sz w:val="28"/>
          <w:szCs w:val="28"/>
        </w:rPr>
        <w:t>Кредитование малого и среднего бизнеса в России</w:t>
      </w:r>
      <w:r w:rsidR="009950D1" w:rsidRPr="00F711A1">
        <w:rPr>
          <w:rFonts w:ascii="Times New Roman" w:hAnsi="Times New Roman" w:cs="Times New Roman"/>
          <w:sz w:val="28"/>
          <w:szCs w:val="28"/>
        </w:rPr>
        <w:t xml:space="preserve"> [Электронный ресурс]</w:t>
      </w:r>
      <w:r w:rsidR="00FA7AC4" w:rsidRPr="00F711A1">
        <w:rPr>
          <w:rFonts w:ascii="Times New Roman" w:hAnsi="Times New Roman" w:cs="Times New Roman"/>
          <w:sz w:val="28"/>
          <w:szCs w:val="28"/>
        </w:rPr>
        <w:t xml:space="preserve"> </w:t>
      </w:r>
      <w:r w:rsidR="000034FD" w:rsidRPr="000034FD">
        <w:rPr>
          <w:rFonts w:ascii="Times New Roman" w:hAnsi="Times New Roman" w:cs="Times New Roman"/>
          <w:sz w:val="28"/>
          <w:szCs w:val="28"/>
        </w:rPr>
        <w:t xml:space="preserve">URL: </w:t>
      </w:r>
      <w:r w:rsidR="00FA7AC4" w:rsidRPr="00F711A1">
        <w:rPr>
          <w:rFonts w:ascii="Times New Roman" w:hAnsi="Times New Roman" w:cs="Times New Roman"/>
          <w:sz w:val="28"/>
          <w:szCs w:val="28"/>
        </w:rPr>
        <w:t>https://www.raexpert.ru/researches/banks/msb_2018/</w:t>
      </w:r>
      <w:r w:rsidR="009950D1" w:rsidRPr="00F711A1">
        <w:rPr>
          <w:rFonts w:ascii="Times New Roman" w:hAnsi="Times New Roman" w:cs="Times New Roman"/>
          <w:sz w:val="28"/>
          <w:szCs w:val="28"/>
        </w:rPr>
        <w:t xml:space="preserve"> (Дата обращения 12.02.2021)  </w:t>
      </w:r>
    </w:p>
    <w:p w14:paraId="1EBB4542" w14:textId="77777777" w:rsidR="009950D1" w:rsidRPr="00F711A1" w:rsidRDefault="004F494D" w:rsidP="004F494D">
      <w:pPr>
        <w:pStyle w:val="a7"/>
        <w:spacing w:line="240" w:lineRule="auto"/>
        <w:ind w:left="142" w:right="0"/>
        <w:contextualSpacing w:val="0"/>
        <w:jc w:val="both"/>
        <w:rPr>
          <w:rFonts w:ascii="Times New Roman" w:hAnsi="Times New Roman" w:cs="Times New Roman"/>
          <w:sz w:val="28"/>
          <w:szCs w:val="28"/>
        </w:rPr>
      </w:pPr>
      <w:r>
        <w:rPr>
          <w:rFonts w:ascii="Times New Roman" w:hAnsi="Times New Roman" w:cs="Times New Roman"/>
          <w:sz w:val="28"/>
          <w:szCs w:val="28"/>
        </w:rPr>
        <w:t xml:space="preserve">6. </w:t>
      </w:r>
      <w:r w:rsidR="009A7E01" w:rsidRPr="00F711A1">
        <w:rPr>
          <w:rFonts w:ascii="Times New Roman" w:hAnsi="Times New Roman" w:cs="Times New Roman"/>
          <w:sz w:val="28"/>
          <w:szCs w:val="28"/>
        </w:rPr>
        <w:t xml:space="preserve">Портфель кредитов малому и среднему бизнесу за 2020 год </w:t>
      </w:r>
      <w:r w:rsidR="009950D1" w:rsidRPr="00F711A1">
        <w:rPr>
          <w:rFonts w:ascii="Times New Roman" w:hAnsi="Times New Roman" w:cs="Times New Roman"/>
          <w:sz w:val="28"/>
          <w:szCs w:val="28"/>
        </w:rPr>
        <w:t xml:space="preserve">[Электронный ресурс] </w:t>
      </w:r>
      <w:r w:rsidR="000034FD" w:rsidRPr="000034FD">
        <w:rPr>
          <w:rFonts w:ascii="Times New Roman" w:hAnsi="Times New Roman" w:cs="Times New Roman"/>
          <w:sz w:val="28"/>
          <w:szCs w:val="28"/>
        </w:rPr>
        <w:t xml:space="preserve">URL: </w:t>
      </w:r>
      <w:r w:rsidR="009A7E01" w:rsidRPr="00F711A1">
        <w:rPr>
          <w:rFonts w:ascii="Times New Roman" w:hAnsi="Times New Roman" w:cs="Times New Roman"/>
          <w:noProof/>
          <w:sz w:val="28"/>
          <w:szCs w:val="28"/>
          <w:lang w:val="en-US" w:eastAsia="ru-RU"/>
        </w:rPr>
        <w:t>https</w:t>
      </w:r>
      <w:r w:rsidR="009A7E01" w:rsidRPr="00F711A1">
        <w:rPr>
          <w:rFonts w:ascii="Times New Roman" w:hAnsi="Times New Roman" w:cs="Times New Roman"/>
          <w:noProof/>
          <w:sz w:val="28"/>
          <w:szCs w:val="28"/>
          <w:lang w:eastAsia="ru-RU"/>
        </w:rPr>
        <w:t>://</w:t>
      </w:r>
      <w:r w:rsidR="009A7E01" w:rsidRPr="00F711A1">
        <w:rPr>
          <w:rFonts w:ascii="Times New Roman" w:hAnsi="Times New Roman" w:cs="Times New Roman"/>
          <w:noProof/>
          <w:sz w:val="28"/>
          <w:szCs w:val="28"/>
          <w:lang w:val="en-US" w:eastAsia="ru-RU"/>
        </w:rPr>
        <w:t>cbr</w:t>
      </w:r>
      <w:r w:rsidR="009A7E01" w:rsidRPr="00F711A1">
        <w:rPr>
          <w:rFonts w:ascii="Times New Roman" w:hAnsi="Times New Roman" w:cs="Times New Roman"/>
          <w:noProof/>
          <w:sz w:val="28"/>
          <w:szCs w:val="28"/>
          <w:lang w:eastAsia="ru-RU"/>
        </w:rPr>
        <w:t>.</w:t>
      </w:r>
      <w:r w:rsidR="009A7E01" w:rsidRPr="00F711A1">
        <w:rPr>
          <w:rFonts w:ascii="Times New Roman" w:hAnsi="Times New Roman" w:cs="Times New Roman"/>
          <w:noProof/>
          <w:sz w:val="28"/>
          <w:szCs w:val="28"/>
          <w:lang w:val="en-US" w:eastAsia="ru-RU"/>
        </w:rPr>
        <w:t>ru</w:t>
      </w:r>
      <w:r w:rsidR="009A7E01" w:rsidRPr="00F711A1">
        <w:rPr>
          <w:rFonts w:ascii="Times New Roman" w:hAnsi="Times New Roman" w:cs="Times New Roman"/>
          <w:noProof/>
          <w:sz w:val="28"/>
          <w:szCs w:val="28"/>
          <w:lang w:eastAsia="ru-RU"/>
        </w:rPr>
        <w:t>/</w:t>
      </w:r>
      <w:r w:rsidR="009A7E01" w:rsidRPr="00F711A1">
        <w:rPr>
          <w:rFonts w:ascii="Times New Roman" w:hAnsi="Times New Roman" w:cs="Times New Roman"/>
          <w:noProof/>
          <w:sz w:val="28"/>
          <w:szCs w:val="28"/>
          <w:lang w:val="en-US" w:eastAsia="ru-RU"/>
        </w:rPr>
        <w:t>press</w:t>
      </w:r>
      <w:r w:rsidR="009A7E01" w:rsidRPr="00F711A1">
        <w:rPr>
          <w:rFonts w:ascii="Times New Roman" w:hAnsi="Times New Roman" w:cs="Times New Roman"/>
          <w:noProof/>
          <w:sz w:val="28"/>
          <w:szCs w:val="28"/>
          <w:lang w:eastAsia="ru-RU"/>
        </w:rPr>
        <w:t>/</w:t>
      </w:r>
      <w:r w:rsidR="009A7E01" w:rsidRPr="00F711A1">
        <w:rPr>
          <w:rFonts w:ascii="Times New Roman" w:hAnsi="Times New Roman" w:cs="Times New Roman"/>
          <w:noProof/>
          <w:sz w:val="28"/>
          <w:szCs w:val="28"/>
          <w:lang w:val="en-US" w:eastAsia="ru-RU"/>
        </w:rPr>
        <w:t>event</w:t>
      </w:r>
      <w:r w:rsidR="009A7E01" w:rsidRPr="00F711A1">
        <w:rPr>
          <w:rFonts w:ascii="Times New Roman" w:hAnsi="Times New Roman" w:cs="Times New Roman"/>
          <w:noProof/>
          <w:sz w:val="28"/>
          <w:szCs w:val="28"/>
          <w:lang w:eastAsia="ru-RU"/>
        </w:rPr>
        <w:t>/?</w:t>
      </w:r>
      <w:r w:rsidR="009A7E01" w:rsidRPr="00F711A1">
        <w:rPr>
          <w:rFonts w:ascii="Times New Roman" w:hAnsi="Times New Roman" w:cs="Times New Roman"/>
          <w:noProof/>
          <w:sz w:val="28"/>
          <w:szCs w:val="28"/>
          <w:lang w:val="en-US" w:eastAsia="ru-RU"/>
        </w:rPr>
        <w:t>id</w:t>
      </w:r>
      <w:r w:rsidR="009A7E01" w:rsidRPr="00F711A1">
        <w:rPr>
          <w:rFonts w:ascii="Times New Roman" w:hAnsi="Times New Roman" w:cs="Times New Roman"/>
          <w:noProof/>
          <w:sz w:val="28"/>
          <w:szCs w:val="28"/>
          <w:lang w:eastAsia="ru-RU"/>
        </w:rPr>
        <w:t>=9619</w:t>
      </w:r>
      <w:r w:rsidR="009A7E01" w:rsidRPr="00F711A1">
        <w:rPr>
          <w:rFonts w:ascii="Times New Roman" w:hAnsi="Times New Roman" w:cs="Times New Roman"/>
          <w:sz w:val="28"/>
          <w:szCs w:val="28"/>
        </w:rPr>
        <w:t xml:space="preserve"> </w:t>
      </w:r>
      <w:r w:rsidR="009950D1" w:rsidRPr="00F711A1">
        <w:rPr>
          <w:rFonts w:ascii="Times New Roman" w:hAnsi="Times New Roman" w:cs="Times New Roman"/>
          <w:sz w:val="28"/>
          <w:szCs w:val="28"/>
        </w:rPr>
        <w:t xml:space="preserve">(Дата </w:t>
      </w:r>
      <w:r w:rsidR="00530539">
        <w:rPr>
          <w:rFonts w:ascii="Times New Roman" w:hAnsi="Times New Roman" w:cs="Times New Roman"/>
          <w:sz w:val="28"/>
          <w:szCs w:val="28"/>
        </w:rPr>
        <w:t>обращения 28</w:t>
      </w:r>
      <w:r w:rsidR="009950D1" w:rsidRPr="00F711A1">
        <w:rPr>
          <w:rFonts w:ascii="Times New Roman" w:hAnsi="Times New Roman" w:cs="Times New Roman"/>
          <w:sz w:val="28"/>
          <w:szCs w:val="28"/>
        </w:rPr>
        <w:t>.02.2021)</w:t>
      </w:r>
    </w:p>
    <w:p w14:paraId="115CC23B" w14:textId="77777777" w:rsidR="00E1686D" w:rsidRPr="006528B3" w:rsidRDefault="004F494D" w:rsidP="004F494D">
      <w:pPr>
        <w:pStyle w:val="a7"/>
        <w:shd w:val="clear" w:color="auto" w:fill="FFFFFF"/>
        <w:spacing w:line="240" w:lineRule="auto"/>
        <w:ind w:left="142" w:right="0"/>
        <w:contextualSpacing w:val="0"/>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7. </w:t>
      </w:r>
      <w:r w:rsidR="00E1686D" w:rsidRPr="00F711A1">
        <w:rPr>
          <w:rFonts w:ascii="Times New Roman" w:eastAsia="Times New Roman" w:hAnsi="Times New Roman" w:cs="Times New Roman"/>
          <w:kern w:val="36"/>
          <w:sz w:val="28"/>
          <w:szCs w:val="28"/>
          <w:lang w:eastAsia="ru-RU"/>
        </w:rPr>
        <w:t>Российские банки: финансовые итоги 2020 года</w:t>
      </w:r>
      <w:r w:rsidR="006528B3">
        <w:rPr>
          <w:rFonts w:ascii="Times New Roman" w:eastAsia="Times New Roman" w:hAnsi="Times New Roman" w:cs="Times New Roman"/>
          <w:kern w:val="36"/>
          <w:sz w:val="28"/>
          <w:szCs w:val="28"/>
          <w:lang w:eastAsia="ru-RU"/>
        </w:rPr>
        <w:t xml:space="preserve"> </w:t>
      </w:r>
      <w:r w:rsidR="00E1686D" w:rsidRPr="006528B3">
        <w:rPr>
          <w:rFonts w:ascii="Times New Roman" w:hAnsi="Times New Roman" w:cs="Times New Roman"/>
          <w:sz w:val="28"/>
          <w:szCs w:val="28"/>
        </w:rPr>
        <w:t>[Электронный ресурс]</w:t>
      </w:r>
      <w:r w:rsidR="00E1686D" w:rsidRPr="006528B3">
        <w:rPr>
          <w:rFonts w:ascii="Times New Roman" w:hAnsi="Times New Roman" w:cs="Times New Roman"/>
          <w:noProof/>
          <w:sz w:val="28"/>
          <w:szCs w:val="28"/>
          <w:lang w:eastAsia="ru-RU"/>
        </w:rPr>
        <w:t xml:space="preserve"> </w:t>
      </w:r>
      <w:r w:rsidR="000034FD" w:rsidRPr="000034FD">
        <w:rPr>
          <w:rFonts w:ascii="Times New Roman" w:hAnsi="Times New Roman" w:cs="Times New Roman"/>
          <w:sz w:val="28"/>
          <w:szCs w:val="28"/>
        </w:rPr>
        <w:t xml:space="preserve">URL: </w:t>
      </w:r>
      <w:hyperlink r:id="rId14" w:history="1">
        <w:r w:rsidR="00E1686D" w:rsidRPr="006528B3">
          <w:rPr>
            <w:rStyle w:val="a6"/>
            <w:rFonts w:ascii="Times New Roman" w:hAnsi="Times New Roman"/>
            <w:noProof/>
            <w:color w:val="auto"/>
            <w:sz w:val="28"/>
            <w:szCs w:val="28"/>
            <w:u w:val="none"/>
            <w:lang w:val="en-US" w:eastAsia="ru-RU"/>
          </w:rPr>
          <w:t>https</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www</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finversia</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ru</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publication</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rossiiskie</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banki</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finansovye</w:t>
        </w:r>
        <w:r w:rsidR="00E1686D" w:rsidRPr="006528B3">
          <w:rPr>
            <w:rStyle w:val="a6"/>
            <w:rFonts w:ascii="Times New Roman" w:hAnsi="Times New Roman"/>
            <w:noProof/>
            <w:color w:val="auto"/>
            <w:sz w:val="28"/>
            <w:szCs w:val="28"/>
            <w:u w:val="none"/>
            <w:lang w:eastAsia="ru-RU"/>
          </w:rPr>
          <w:t>-</w:t>
        </w:r>
        <w:r w:rsidR="00E1686D" w:rsidRPr="006528B3">
          <w:rPr>
            <w:rStyle w:val="a6"/>
            <w:rFonts w:ascii="Times New Roman" w:hAnsi="Times New Roman"/>
            <w:noProof/>
            <w:color w:val="auto"/>
            <w:sz w:val="28"/>
            <w:szCs w:val="28"/>
            <w:u w:val="none"/>
            <w:lang w:val="en-US" w:eastAsia="ru-RU"/>
          </w:rPr>
          <w:t>itogi</w:t>
        </w:r>
        <w:r w:rsidR="00E1686D" w:rsidRPr="006528B3">
          <w:rPr>
            <w:rStyle w:val="a6"/>
            <w:rFonts w:ascii="Times New Roman" w:hAnsi="Times New Roman"/>
            <w:noProof/>
            <w:color w:val="auto"/>
            <w:sz w:val="28"/>
            <w:szCs w:val="28"/>
            <w:u w:val="none"/>
            <w:lang w:eastAsia="ru-RU"/>
          </w:rPr>
          <w:t>-2020-</w:t>
        </w:r>
        <w:r w:rsidR="00E1686D" w:rsidRPr="006528B3">
          <w:rPr>
            <w:rStyle w:val="a6"/>
            <w:rFonts w:ascii="Times New Roman" w:hAnsi="Times New Roman"/>
            <w:noProof/>
            <w:color w:val="auto"/>
            <w:sz w:val="28"/>
            <w:szCs w:val="28"/>
            <w:u w:val="none"/>
            <w:lang w:val="en-US" w:eastAsia="ru-RU"/>
          </w:rPr>
          <w:t>goda</w:t>
        </w:r>
        <w:r w:rsidR="00E1686D" w:rsidRPr="006528B3">
          <w:rPr>
            <w:rStyle w:val="a6"/>
            <w:rFonts w:ascii="Times New Roman" w:hAnsi="Times New Roman"/>
            <w:noProof/>
            <w:color w:val="auto"/>
            <w:sz w:val="28"/>
            <w:szCs w:val="28"/>
            <w:u w:val="none"/>
            <w:lang w:eastAsia="ru-RU"/>
          </w:rPr>
          <w:t>-90341</w:t>
        </w:r>
      </w:hyperlink>
      <w:r w:rsidR="00E1686D" w:rsidRPr="006528B3">
        <w:rPr>
          <w:rFonts w:ascii="Times New Roman" w:hAnsi="Times New Roman" w:cs="Times New Roman"/>
          <w:noProof/>
          <w:sz w:val="28"/>
          <w:szCs w:val="28"/>
          <w:lang w:eastAsia="ru-RU"/>
        </w:rPr>
        <w:t xml:space="preserve"> </w:t>
      </w:r>
      <w:r w:rsidR="00530539">
        <w:rPr>
          <w:rFonts w:ascii="Times New Roman" w:hAnsi="Times New Roman" w:cs="Times New Roman"/>
          <w:sz w:val="28"/>
          <w:szCs w:val="28"/>
        </w:rPr>
        <w:t>(Дата обращения 28</w:t>
      </w:r>
      <w:r w:rsidR="00E1686D" w:rsidRPr="006528B3">
        <w:rPr>
          <w:rFonts w:ascii="Times New Roman" w:hAnsi="Times New Roman" w:cs="Times New Roman"/>
          <w:sz w:val="28"/>
          <w:szCs w:val="28"/>
        </w:rPr>
        <w:t>.02.2021)</w:t>
      </w:r>
    </w:p>
    <w:p w14:paraId="2E940F53" w14:textId="77777777" w:rsidR="006528B3" w:rsidRPr="00CF490D" w:rsidRDefault="004F494D" w:rsidP="004F494D">
      <w:pPr>
        <w:pStyle w:val="a7"/>
        <w:shd w:val="clear" w:color="auto" w:fill="FFFFFF"/>
        <w:spacing w:line="240" w:lineRule="auto"/>
        <w:ind w:left="142" w:right="0"/>
        <w:contextualSpacing w:val="0"/>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8. </w:t>
      </w:r>
      <w:r w:rsidR="00CF490D">
        <w:rPr>
          <w:rFonts w:ascii="Times New Roman" w:eastAsia="Times New Roman" w:hAnsi="Times New Roman" w:cs="Times New Roman"/>
          <w:kern w:val="36"/>
          <w:sz w:val="28"/>
          <w:szCs w:val="28"/>
          <w:lang w:eastAsia="ru-RU"/>
        </w:rPr>
        <w:t xml:space="preserve">Возможные риски при кредитовании малого бизнеса </w:t>
      </w:r>
      <w:r w:rsidR="00CF490D" w:rsidRPr="006528B3">
        <w:rPr>
          <w:rFonts w:ascii="Times New Roman" w:hAnsi="Times New Roman" w:cs="Times New Roman"/>
          <w:sz w:val="28"/>
          <w:szCs w:val="28"/>
        </w:rPr>
        <w:t>[Электронный ресурс]</w:t>
      </w:r>
      <w:r w:rsidR="00CF490D" w:rsidRPr="006528B3">
        <w:rPr>
          <w:rFonts w:ascii="Times New Roman" w:hAnsi="Times New Roman" w:cs="Times New Roman"/>
          <w:noProof/>
          <w:sz w:val="28"/>
          <w:szCs w:val="28"/>
          <w:lang w:eastAsia="ru-RU"/>
        </w:rPr>
        <w:t xml:space="preserve"> </w:t>
      </w:r>
      <w:r w:rsidR="000034FD" w:rsidRPr="000034FD">
        <w:rPr>
          <w:rFonts w:ascii="Times New Roman" w:hAnsi="Times New Roman" w:cs="Times New Roman"/>
          <w:sz w:val="28"/>
          <w:szCs w:val="28"/>
        </w:rPr>
        <w:t xml:space="preserve">URL: </w:t>
      </w:r>
      <w:r w:rsidR="00CF490D" w:rsidRPr="00CF490D">
        <w:rPr>
          <w:rFonts w:ascii="Times New Roman" w:eastAsia="Times New Roman" w:hAnsi="Times New Roman" w:cs="Times New Roman"/>
          <w:kern w:val="36"/>
          <w:sz w:val="28"/>
          <w:szCs w:val="28"/>
          <w:lang w:eastAsia="ru-RU"/>
        </w:rPr>
        <w:t>https://www.klerk.ru/bank/articles/211518/</w:t>
      </w:r>
      <w:r w:rsidR="00CF490D" w:rsidRPr="006528B3">
        <w:rPr>
          <w:rFonts w:ascii="Times New Roman" w:hAnsi="Times New Roman" w:cs="Times New Roman"/>
          <w:sz w:val="28"/>
          <w:szCs w:val="28"/>
        </w:rPr>
        <w:t xml:space="preserve"> (Дата обращения 14.02.2021)</w:t>
      </w:r>
    </w:p>
    <w:p w14:paraId="011CBE58" w14:textId="77777777" w:rsidR="00CF490D" w:rsidRPr="00CF490D" w:rsidRDefault="004F494D" w:rsidP="004F494D">
      <w:pPr>
        <w:pStyle w:val="a7"/>
        <w:shd w:val="clear" w:color="auto" w:fill="FFFFFF"/>
        <w:spacing w:line="240" w:lineRule="auto"/>
        <w:ind w:left="142" w:right="0"/>
        <w:contextualSpacing w:val="0"/>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9. </w:t>
      </w:r>
      <w:r w:rsidR="00232F9D">
        <w:rPr>
          <w:rFonts w:ascii="Times New Roman" w:eastAsia="Times New Roman" w:hAnsi="Times New Roman" w:cs="Times New Roman"/>
          <w:kern w:val="36"/>
          <w:sz w:val="28"/>
          <w:szCs w:val="28"/>
          <w:lang w:eastAsia="ru-RU"/>
        </w:rPr>
        <w:t xml:space="preserve">Прогноз кредитования малого и среднего бизнеса в России на </w:t>
      </w:r>
      <w:r w:rsidR="00254DCD">
        <w:rPr>
          <w:rFonts w:ascii="Times New Roman" w:eastAsia="Times New Roman" w:hAnsi="Times New Roman" w:cs="Times New Roman"/>
          <w:kern w:val="36"/>
          <w:sz w:val="28"/>
          <w:szCs w:val="28"/>
          <w:lang w:eastAsia="ru-RU"/>
        </w:rPr>
        <w:t xml:space="preserve">2020 год </w:t>
      </w:r>
      <w:r w:rsidR="00CF490D" w:rsidRPr="006528B3">
        <w:rPr>
          <w:rFonts w:ascii="Times New Roman" w:hAnsi="Times New Roman" w:cs="Times New Roman"/>
          <w:sz w:val="28"/>
          <w:szCs w:val="28"/>
        </w:rPr>
        <w:t xml:space="preserve">[Электронный </w:t>
      </w:r>
      <w:r w:rsidR="00CF490D" w:rsidRPr="000034FD">
        <w:rPr>
          <w:rFonts w:ascii="Times New Roman" w:hAnsi="Times New Roman" w:cs="Times New Roman"/>
          <w:sz w:val="28"/>
          <w:szCs w:val="28"/>
        </w:rPr>
        <w:t>ресурс]</w:t>
      </w:r>
      <w:r w:rsidR="00254DCD" w:rsidRPr="000034FD">
        <w:rPr>
          <w:rFonts w:ascii="Times New Roman" w:hAnsi="Times New Roman" w:cs="Times New Roman"/>
          <w:sz w:val="28"/>
          <w:szCs w:val="28"/>
        </w:rPr>
        <w:t xml:space="preserve"> </w:t>
      </w:r>
      <w:r w:rsidR="000034FD" w:rsidRPr="000034FD">
        <w:rPr>
          <w:rFonts w:ascii="Times New Roman" w:hAnsi="Times New Roman" w:cs="Times New Roman"/>
          <w:sz w:val="28"/>
          <w:szCs w:val="28"/>
        </w:rPr>
        <w:t xml:space="preserve">URL: </w:t>
      </w:r>
      <w:r w:rsidR="00254DCD" w:rsidRPr="000034FD">
        <w:rPr>
          <w:rFonts w:ascii="Times New Roman" w:hAnsi="Times New Roman" w:cs="Times New Roman"/>
          <w:sz w:val="28"/>
          <w:szCs w:val="28"/>
        </w:rPr>
        <w:t>https</w:t>
      </w:r>
      <w:r w:rsidR="00254DCD" w:rsidRPr="00254DCD">
        <w:rPr>
          <w:rFonts w:ascii="Times New Roman" w:hAnsi="Times New Roman" w:cs="Times New Roman"/>
          <w:sz w:val="28"/>
          <w:szCs w:val="28"/>
        </w:rPr>
        <w:t>://raexpert.ru/researches/banks/msb_2019/</w:t>
      </w:r>
      <w:r w:rsidR="00254DCD">
        <w:rPr>
          <w:rFonts w:ascii="Times New Roman" w:hAnsi="Times New Roman" w:cs="Times New Roman"/>
          <w:noProof/>
          <w:sz w:val="28"/>
          <w:szCs w:val="28"/>
          <w:lang w:eastAsia="ru-RU"/>
        </w:rPr>
        <w:t xml:space="preserve"> </w:t>
      </w:r>
      <w:r w:rsidR="00530539">
        <w:rPr>
          <w:rFonts w:ascii="Times New Roman" w:hAnsi="Times New Roman" w:cs="Times New Roman"/>
          <w:sz w:val="28"/>
          <w:szCs w:val="28"/>
        </w:rPr>
        <w:t>(Дата обращения 1.03</w:t>
      </w:r>
      <w:r w:rsidR="00CF490D" w:rsidRPr="006528B3">
        <w:rPr>
          <w:rFonts w:ascii="Times New Roman" w:hAnsi="Times New Roman" w:cs="Times New Roman"/>
          <w:sz w:val="28"/>
          <w:szCs w:val="28"/>
        </w:rPr>
        <w:t>.2021)</w:t>
      </w:r>
    </w:p>
    <w:p w14:paraId="46BEEB9E" w14:textId="77777777" w:rsidR="00CF490D" w:rsidRPr="00CF490D" w:rsidRDefault="004F494D" w:rsidP="004F494D">
      <w:pPr>
        <w:pStyle w:val="a7"/>
        <w:shd w:val="clear" w:color="auto" w:fill="FFFFFF"/>
        <w:spacing w:line="240" w:lineRule="auto"/>
        <w:ind w:left="142" w:right="0"/>
        <w:contextualSpacing w:val="0"/>
        <w:jc w:val="both"/>
        <w:rPr>
          <w:rFonts w:ascii="Times New Roman" w:eastAsia="Times New Roman" w:hAnsi="Times New Roman" w:cs="Times New Roman"/>
          <w:kern w:val="36"/>
          <w:sz w:val="28"/>
          <w:szCs w:val="28"/>
          <w:lang w:eastAsia="ru-RU"/>
        </w:rPr>
      </w:pPr>
      <w:r>
        <w:rPr>
          <w:rFonts w:ascii="Times New Roman" w:hAnsi="Times New Roman" w:cs="Times New Roman"/>
          <w:sz w:val="28"/>
          <w:szCs w:val="28"/>
        </w:rPr>
        <w:t xml:space="preserve">10. </w:t>
      </w:r>
      <w:r w:rsidR="00E11414">
        <w:rPr>
          <w:rFonts w:ascii="Times New Roman" w:hAnsi="Times New Roman" w:cs="Times New Roman"/>
          <w:sz w:val="28"/>
          <w:szCs w:val="28"/>
        </w:rPr>
        <w:t xml:space="preserve">Особенности банковского кредитования субъектов малого и среднего бизнеса </w:t>
      </w:r>
      <w:r w:rsidR="00BE182A">
        <w:rPr>
          <w:rFonts w:ascii="Times New Roman" w:hAnsi="Times New Roman" w:cs="Times New Roman"/>
          <w:sz w:val="28"/>
          <w:szCs w:val="28"/>
        </w:rPr>
        <w:t xml:space="preserve">в условиях экономического кризиса </w:t>
      </w:r>
      <w:r w:rsidR="00530539" w:rsidRPr="006528B3">
        <w:rPr>
          <w:rFonts w:ascii="Times New Roman" w:hAnsi="Times New Roman" w:cs="Times New Roman"/>
          <w:sz w:val="28"/>
          <w:szCs w:val="28"/>
        </w:rPr>
        <w:t>[Электронный ресурс]</w:t>
      </w:r>
      <w:r w:rsidR="00BE182A">
        <w:rPr>
          <w:rFonts w:ascii="Times New Roman" w:hAnsi="Times New Roman" w:cs="Times New Roman"/>
          <w:sz w:val="28"/>
          <w:szCs w:val="28"/>
        </w:rPr>
        <w:t xml:space="preserve"> </w:t>
      </w:r>
      <w:r w:rsidR="000034FD" w:rsidRPr="000034FD">
        <w:rPr>
          <w:rFonts w:ascii="Times New Roman" w:hAnsi="Times New Roman" w:cs="Times New Roman"/>
          <w:sz w:val="28"/>
          <w:szCs w:val="28"/>
        </w:rPr>
        <w:t xml:space="preserve">URL: </w:t>
      </w:r>
      <w:r w:rsidR="00BE182A" w:rsidRPr="00BE182A">
        <w:rPr>
          <w:rFonts w:ascii="Times New Roman" w:hAnsi="Times New Roman" w:cs="Times New Roman"/>
          <w:sz w:val="28"/>
          <w:szCs w:val="28"/>
        </w:rPr>
        <w:t>https://www.finam.ru/analysis/forecasts/osobennosti-bankovskogo-kreditovaniya-sub-ektov-malogo-i-srednego-biznesa-v-usloviyax-ekonomicheskogo-krizisa-20201202-135018/</w:t>
      </w:r>
      <w:r w:rsidR="00530539" w:rsidRPr="006528B3">
        <w:rPr>
          <w:rFonts w:ascii="Times New Roman" w:hAnsi="Times New Roman" w:cs="Times New Roman"/>
          <w:noProof/>
          <w:sz w:val="28"/>
          <w:szCs w:val="28"/>
          <w:lang w:eastAsia="ru-RU"/>
        </w:rPr>
        <w:t xml:space="preserve"> </w:t>
      </w:r>
      <w:r w:rsidR="00530539">
        <w:rPr>
          <w:rFonts w:ascii="Times New Roman" w:hAnsi="Times New Roman" w:cs="Times New Roman"/>
          <w:sz w:val="28"/>
          <w:szCs w:val="28"/>
        </w:rPr>
        <w:t>(Дата обращения 5.03</w:t>
      </w:r>
      <w:r w:rsidR="00530539" w:rsidRPr="006528B3">
        <w:rPr>
          <w:rFonts w:ascii="Times New Roman" w:hAnsi="Times New Roman" w:cs="Times New Roman"/>
          <w:sz w:val="28"/>
          <w:szCs w:val="28"/>
        </w:rPr>
        <w:t>.2021)</w:t>
      </w:r>
    </w:p>
    <w:p w14:paraId="2561E857" w14:textId="77777777" w:rsidR="00FA7AC4" w:rsidRPr="00672223" w:rsidRDefault="00FA7AC4" w:rsidP="004F494D">
      <w:pPr>
        <w:spacing w:after="0" w:line="240" w:lineRule="auto"/>
        <w:ind w:left="142" w:hanging="142"/>
        <w:jc w:val="both"/>
        <w:rPr>
          <w:rFonts w:ascii="Times New Roman" w:hAnsi="Times New Roman" w:cs="Times New Roman"/>
          <w:sz w:val="28"/>
          <w:szCs w:val="28"/>
        </w:rPr>
      </w:pPr>
    </w:p>
    <w:p w14:paraId="381B0BAD" w14:textId="77777777" w:rsidR="00EF5FCC" w:rsidRPr="0045658F" w:rsidRDefault="00EF5FCC" w:rsidP="00216D3F">
      <w:pPr>
        <w:spacing w:after="0" w:line="240" w:lineRule="auto"/>
        <w:jc w:val="right"/>
        <w:rPr>
          <w:sz w:val="24"/>
          <w:szCs w:val="24"/>
        </w:rPr>
      </w:pPr>
    </w:p>
    <w:sectPr w:rsidR="00EF5FCC" w:rsidRPr="0045658F" w:rsidSect="005C440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32D47"/>
    <w:multiLevelType w:val="hybridMultilevel"/>
    <w:tmpl w:val="4C326B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712F33"/>
    <w:multiLevelType w:val="hybridMultilevel"/>
    <w:tmpl w:val="0AE09B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1511500"/>
    <w:multiLevelType w:val="hybridMultilevel"/>
    <w:tmpl w:val="6EAC43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17"/>
    <w:rsid w:val="00000EE8"/>
    <w:rsid w:val="000034FD"/>
    <w:rsid w:val="00021A64"/>
    <w:rsid w:val="000262AF"/>
    <w:rsid w:val="00043EE3"/>
    <w:rsid w:val="00051D66"/>
    <w:rsid w:val="00052166"/>
    <w:rsid w:val="00072C08"/>
    <w:rsid w:val="00076590"/>
    <w:rsid w:val="000948E1"/>
    <w:rsid w:val="000A0BE3"/>
    <w:rsid w:val="000A3818"/>
    <w:rsid w:val="000B1CFE"/>
    <w:rsid w:val="000B3F78"/>
    <w:rsid w:val="000C32EB"/>
    <w:rsid w:val="000C73C2"/>
    <w:rsid w:val="000D6474"/>
    <w:rsid w:val="000E0343"/>
    <w:rsid w:val="000E74E1"/>
    <w:rsid w:val="000F3118"/>
    <w:rsid w:val="00112D1E"/>
    <w:rsid w:val="001219AE"/>
    <w:rsid w:val="001573A9"/>
    <w:rsid w:val="00161ADD"/>
    <w:rsid w:val="00162BC6"/>
    <w:rsid w:val="00172D81"/>
    <w:rsid w:val="001829FA"/>
    <w:rsid w:val="001A49DC"/>
    <w:rsid w:val="001D5D91"/>
    <w:rsid w:val="001D6588"/>
    <w:rsid w:val="001E7582"/>
    <w:rsid w:val="00216D3F"/>
    <w:rsid w:val="00232F9D"/>
    <w:rsid w:val="002367C4"/>
    <w:rsid w:val="0024205B"/>
    <w:rsid w:val="00252CA6"/>
    <w:rsid w:val="00254DCD"/>
    <w:rsid w:val="00271230"/>
    <w:rsid w:val="002A7BDD"/>
    <w:rsid w:val="002B1210"/>
    <w:rsid w:val="002B2600"/>
    <w:rsid w:val="002C3EB2"/>
    <w:rsid w:val="002D1C3B"/>
    <w:rsid w:val="002D68CD"/>
    <w:rsid w:val="002E1991"/>
    <w:rsid w:val="002E740D"/>
    <w:rsid w:val="0030362A"/>
    <w:rsid w:val="0031203C"/>
    <w:rsid w:val="00330A96"/>
    <w:rsid w:val="00333BCC"/>
    <w:rsid w:val="00335E1F"/>
    <w:rsid w:val="00374D99"/>
    <w:rsid w:val="003A1872"/>
    <w:rsid w:val="003A68F7"/>
    <w:rsid w:val="003C671C"/>
    <w:rsid w:val="00406ED1"/>
    <w:rsid w:val="00432A90"/>
    <w:rsid w:val="004335C4"/>
    <w:rsid w:val="00446C6B"/>
    <w:rsid w:val="00452F2E"/>
    <w:rsid w:val="00453EF2"/>
    <w:rsid w:val="0045658F"/>
    <w:rsid w:val="004600FA"/>
    <w:rsid w:val="0049260E"/>
    <w:rsid w:val="00492B97"/>
    <w:rsid w:val="004A14E0"/>
    <w:rsid w:val="004A7B4F"/>
    <w:rsid w:val="004B6AC9"/>
    <w:rsid w:val="004C1337"/>
    <w:rsid w:val="004C558E"/>
    <w:rsid w:val="004D204A"/>
    <w:rsid w:val="004D64F9"/>
    <w:rsid w:val="004D6ED5"/>
    <w:rsid w:val="004F111C"/>
    <w:rsid w:val="004F494D"/>
    <w:rsid w:val="004F5054"/>
    <w:rsid w:val="00510C62"/>
    <w:rsid w:val="00530539"/>
    <w:rsid w:val="00530D3B"/>
    <w:rsid w:val="00582AB7"/>
    <w:rsid w:val="005A55D6"/>
    <w:rsid w:val="005C4408"/>
    <w:rsid w:val="005C5E1D"/>
    <w:rsid w:val="005E0DF0"/>
    <w:rsid w:val="005E2C06"/>
    <w:rsid w:val="006117BA"/>
    <w:rsid w:val="0061294C"/>
    <w:rsid w:val="00614C25"/>
    <w:rsid w:val="006273F2"/>
    <w:rsid w:val="00640BB9"/>
    <w:rsid w:val="006438AC"/>
    <w:rsid w:val="00644C10"/>
    <w:rsid w:val="006528B3"/>
    <w:rsid w:val="00672223"/>
    <w:rsid w:val="00673C83"/>
    <w:rsid w:val="0068538D"/>
    <w:rsid w:val="006A1165"/>
    <w:rsid w:val="006C40DD"/>
    <w:rsid w:val="006C7699"/>
    <w:rsid w:val="006E0B6C"/>
    <w:rsid w:val="006F088E"/>
    <w:rsid w:val="006F5CF4"/>
    <w:rsid w:val="00723F79"/>
    <w:rsid w:val="00726DC1"/>
    <w:rsid w:val="0077035E"/>
    <w:rsid w:val="00777F4A"/>
    <w:rsid w:val="00785146"/>
    <w:rsid w:val="00796AFF"/>
    <w:rsid w:val="007A75A0"/>
    <w:rsid w:val="007A7E82"/>
    <w:rsid w:val="007B3C83"/>
    <w:rsid w:val="007D26FC"/>
    <w:rsid w:val="007E1323"/>
    <w:rsid w:val="008035E4"/>
    <w:rsid w:val="00820273"/>
    <w:rsid w:val="00820446"/>
    <w:rsid w:val="00824549"/>
    <w:rsid w:val="008421F1"/>
    <w:rsid w:val="00843765"/>
    <w:rsid w:val="00845A5A"/>
    <w:rsid w:val="008617E4"/>
    <w:rsid w:val="00892043"/>
    <w:rsid w:val="00895477"/>
    <w:rsid w:val="008B0E02"/>
    <w:rsid w:val="008C2010"/>
    <w:rsid w:val="008C756C"/>
    <w:rsid w:val="008F63D1"/>
    <w:rsid w:val="00910047"/>
    <w:rsid w:val="00934F41"/>
    <w:rsid w:val="00937B97"/>
    <w:rsid w:val="0098080D"/>
    <w:rsid w:val="00981328"/>
    <w:rsid w:val="009950D1"/>
    <w:rsid w:val="009A5003"/>
    <w:rsid w:val="009A7E01"/>
    <w:rsid w:val="009C46E8"/>
    <w:rsid w:val="009E4417"/>
    <w:rsid w:val="009F0049"/>
    <w:rsid w:val="00A0703D"/>
    <w:rsid w:val="00A353C1"/>
    <w:rsid w:val="00A46ECE"/>
    <w:rsid w:val="00A60F70"/>
    <w:rsid w:val="00A8414A"/>
    <w:rsid w:val="00AA611B"/>
    <w:rsid w:val="00AA77D3"/>
    <w:rsid w:val="00AB0572"/>
    <w:rsid w:val="00AD747C"/>
    <w:rsid w:val="00B00AB5"/>
    <w:rsid w:val="00B03EF1"/>
    <w:rsid w:val="00B21E24"/>
    <w:rsid w:val="00B2375E"/>
    <w:rsid w:val="00B41797"/>
    <w:rsid w:val="00B5687C"/>
    <w:rsid w:val="00B56DE0"/>
    <w:rsid w:val="00B60E45"/>
    <w:rsid w:val="00B67426"/>
    <w:rsid w:val="00B773F3"/>
    <w:rsid w:val="00BB634E"/>
    <w:rsid w:val="00BC53B8"/>
    <w:rsid w:val="00BC6205"/>
    <w:rsid w:val="00BE182A"/>
    <w:rsid w:val="00BF4B0C"/>
    <w:rsid w:val="00C36BB5"/>
    <w:rsid w:val="00C55F68"/>
    <w:rsid w:val="00C566E7"/>
    <w:rsid w:val="00CB13AB"/>
    <w:rsid w:val="00CB49C7"/>
    <w:rsid w:val="00CB560B"/>
    <w:rsid w:val="00CC0A7B"/>
    <w:rsid w:val="00CE001E"/>
    <w:rsid w:val="00CE7699"/>
    <w:rsid w:val="00CF490D"/>
    <w:rsid w:val="00CF6E5E"/>
    <w:rsid w:val="00D109D4"/>
    <w:rsid w:val="00D23804"/>
    <w:rsid w:val="00D5273A"/>
    <w:rsid w:val="00D630E2"/>
    <w:rsid w:val="00D64336"/>
    <w:rsid w:val="00D71DD9"/>
    <w:rsid w:val="00D81EDA"/>
    <w:rsid w:val="00DA4BA3"/>
    <w:rsid w:val="00DA7FBB"/>
    <w:rsid w:val="00DB4826"/>
    <w:rsid w:val="00DD3F3A"/>
    <w:rsid w:val="00DF6547"/>
    <w:rsid w:val="00E11414"/>
    <w:rsid w:val="00E1686D"/>
    <w:rsid w:val="00E253E4"/>
    <w:rsid w:val="00E62EAB"/>
    <w:rsid w:val="00E84368"/>
    <w:rsid w:val="00E8736D"/>
    <w:rsid w:val="00E91FC5"/>
    <w:rsid w:val="00EA5CC5"/>
    <w:rsid w:val="00EB293E"/>
    <w:rsid w:val="00EC0614"/>
    <w:rsid w:val="00EC277D"/>
    <w:rsid w:val="00EE23E7"/>
    <w:rsid w:val="00EF50CE"/>
    <w:rsid w:val="00EF5FCC"/>
    <w:rsid w:val="00F249DE"/>
    <w:rsid w:val="00F34769"/>
    <w:rsid w:val="00F5124B"/>
    <w:rsid w:val="00F602C5"/>
    <w:rsid w:val="00F711A1"/>
    <w:rsid w:val="00FA7AC4"/>
    <w:rsid w:val="00FC0683"/>
    <w:rsid w:val="00FC6854"/>
    <w:rsid w:val="00FD358F"/>
    <w:rsid w:val="00FD6479"/>
    <w:rsid w:val="00FD7CF4"/>
    <w:rsid w:val="00FE3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498"/>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EAB"/>
  </w:style>
  <w:style w:type="paragraph" w:styleId="1">
    <w:name w:val="heading 1"/>
    <w:basedOn w:val="a"/>
    <w:link w:val="10"/>
    <w:uiPriority w:val="9"/>
    <w:qFormat/>
    <w:rsid w:val="00E16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E0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41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414A"/>
    <w:rPr>
      <w:rFonts w:ascii="Tahoma" w:hAnsi="Tahoma" w:cs="Tahoma"/>
      <w:sz w:val="16"/>
      <w:szCs w:val="16"/>
    </w:rPr>
  </w:style>
  <w:style w:type="character" w:styleId="a6">
    <w:name w:val="Hyperlink"/>
    <w:uiPriority w:val="99"/>
    <w:rsid w:val="00EF5FCC"/>
    <w:rPr>
      <w:rFonts w:cs="Times New Roman"/>
      <w:color w:val="0000FF"/>
      <w:u w:val="single"/>
    </w:rPr>
  </w:style>
  <w:style w:type="paragraph" w:styleId="a7">
    <w:name w:val="List Paragraph"/>
    <w:basedOn w:val="a"/>
    <w:uiPriority w:val="34"/>
    <w:qFormat/>
    <w:rsid w:val="00B60E45"/>
    <w:pPr>
      <w:spacing w:after="0" w:line="360" w:lineRule="auto"/>
      <w:ind w:left="720" w:right="-284"/>
      <w:contextualSpacing/>
    </w:pPr>
  </w:style>
  <w:style w:type="character" w:customStyle="1" w:styleId="10">
    <w:name w:val="Заголовок 1 Знак"/>
    <w:basedOn w:val="a0"/>
    <w:link w:val="1"/>
    <w:uiPriority w:val="9"/>
    <w:rsid w:val="00E1686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170857">
      <w:bodyDiv w:val="1"/>
      <w:marLeft w:val="0"/>
      <w:marRight w:val="0"/>
      <w:marTop w:val="0"/>
      <w:marBottom w:val="0"/>
      <w:divBdr>
        <w:top w:val="none" w:sz="0" w:space="0" w:color="auto"/>
        <w:left w:val="none" w:sz="0" w:space="0" w:color="auto"/>
        <w:bottom w:val="none" w:sz="0" w:space="0" w:color="auto"/>
        <w:right w:val="none" w:sz="0" w:space="0" w:color="auto"/>
      </w:divBdr>
    </w:div>
    <w:div w:id="15741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www.business.ru/artic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URL:%20https://www.cleverence.ru/articles/"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www.finversia.ru/publication/rossiiskie-banki-finansovye-itogi-2020-goda-9034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75"/>
      <c:rotY val="0"/>
      <c:rAngAx val="0"/>
    </c:view3D>
    <c:floor>
      <c:thickness val="0"/>
    </c:floor>
    <c:sideWall>
      <c:thickness val="0"/>
    </c:sideWall>
    <c:backWall>
      <c:thickness val="0"/>
    </c:backWall>
    <c:plotArea>
      <c:layout/>
      <c:pie3DChart>
        <c:varyColors val="1"/>
        <c:ser>
          <c:idx val="0"/>
          <c:order val="0"/>
          <c:tx>
            <c:strRef>
              <c:f>Лист1!$B$1</c:f>
              <c:strCache>
                <c:ptCount val="1"/>
                <c:pt idx="0">
                  <c:v>%</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Высокие риски</c:v>
                </c:pt>
                <c:pt idx="1">
                  <c:v>Отсутствие надежного заемщика</c:v>
                </c:pt>
                <c:pt idx="2">
                  <c:v>Неодостаточная ресурсная база</c:v>
                </c:pt>
                <c:pt idx="3">
                  <c:v>Высокие операционные издержки</c:v>
                </c:pt>
                <c:pt idx="4">
                  <c:v>Отсутствие спроса на условиях банка</c:v>
                </c:pt>
              </c:strCache>
            </c:strRef>
          </c:cat>
          <c:val>
            <c:numRef>
              <c:f>Лист1!$B$2:$B$6</c:f>
              <c:numCache>
                <c:formatCode>0%</c:formatCode>
                <c:ptCount val="5"/>
                <c:pt idx="0">
                  <c:v>0.48000000000000032</c:v>
                </c:pt>
                <c:pt idx="1">
                  <c:v>0.21000000000000021</c:v>
                </c:pt>
                <c:pt idx="2">
                  <c:v>0.15000000000000024</c:v>
                </c:pt>
                <c:pt idx="3">
                  <c:v>8.0000000000000127E-2</c:v>
                </c:pt>
                <c:pt idx="4">
                  <c:v>8.0000000000000127E-2</c:v>
                </c:pt>
              </c:numCache>
            </c:numRef>
          </c:val>
          <c:extLst>
            <c:ext xmlns:c16="http://schemas.microsoft.com/office/drawing/2014/chart" uri="{C3380CC4-5D6E-409C-BE32-E72D297353CC}">
              <c16:uniqueId val="{00000000-51AF-4C95-AE75-FE882B5C24B3}"/>
            </c:ext>
          </c:extLst>
        </c:ser>
        <c:dLbls>
          <c:showLegendKey val="0"/>
          <c:showVal val="0"/>
          <c:showCatName val="0"/>
          <c:showSerName val="0"/>
          <c:showPercent val="1"/>
          <c:showBubbleSize val="0"/>
          <c:showLeaderLines val="1"/>
        </c:dLbls>
      </c:pie3DChart>
    </c:plotArea>
    <c:legend>
      <c:legendPos val="r"/>
      <c:layout>
        <c:manualLayout>
          <c:xMode val="edge"/>
          <c:yMode val="edge"/>
          <c:x val="0.6352412899761406"/>
          <c:y val="0.1309759265677132"/>
          <c:w val="0.31710841776275939"/>
          <c:h val="0.7092795491489148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Лист1!$B$1</c:f>
              <c:strCache>
                <c:ptCount val="1"/>
                <c:pt idx="0">
                  <c:v>Торговля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Лист1!$B$2:$B$6</c:f>
              <c:numCache>
                <c:formatCode>0%</c:formatCode>
                <c:ptCount val="5"/>
                <c:pt idx="0">
                  <c:v>0.47000000000000008</c:v>
                </c:pt>
                <c:pt idx="1">
                  <c:v>0.51</c:v>
                </c:pt>
                <c:pt idx="2">
                  <c:v>0.49000000000000032</c:v>
                </c:pt>
                <c:pt idx="3">
                  <c:v>0.48000000000000032</c:v>
                </c:pt>
                <c:pt idx="4">
                  <c:v>0.5</c:v>
                </c:pt>
              </c:numCache>
            </c:numRef>
          </c:val>
          <c:extLst>
            <c:ext xmlns:c16="http://schemas.microsoft.com/office/drawing/2014/chart" uri="{C3380CC4-5D6E-409C-BE32-E72D297353CC}">
              <c16:uniqueId val="{00000000-95DA-4D97-B9C8-27346CE70665}"/>
            </c:ext>
          </c:extLst>
        </c:ser>
        <c:ser>
          <c:idx val="1"/>
          <c:order val="1"/>
          <c:tx>
            <c:strRef>
              <c:f>Лист1!$C$1</c:f>
              <c:strCache>
                <c:ptCount val="1"/>
                <c:pt idx="0">
                  <c:v>Обрабатывающие производства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Лист1!$C$2:$C$6</c:f>
              <c:numCache>
                <c:formatCode>0%</c:formatCode>
                <c:ptCount val="5"/>
                <c:pt idx="0">
                  <c:v>0.12000000000000002</c:v>
                </c:pt>
                <c:pt idx="1">
                  <c:v>0.14000000000000001</c:v>
                </c:pt>
                <c:pt idx="2">
                  <c:v>0.15000000000000024</c:v>
                </c:pt>
                <c:pt idx="3">
                  <c:v>0.15000000000000024</c:v>
                </c:pt>
                <c:pt idx="4">
                  <c:v>0.14000000000000001</c:v>
                </c:pt>
              </c:numCache>
            </c:numRef>
          </c:val>
          <c:extLst>
            <c:ext xmlns:c16="http://schemas.microsoft.com/office/drawing/2014/chart" uri="{C3380CC4-5D6E-409C-BE32-E72D297353CC}">
              <c16:uniqueId val="{00000001-95DA-4D97-B9C8-27346CE70665}"/>
            </c:ext>
          </c:extLst>
        </c:ser>
        <c:ser>
          <c:idx val="2"/>
          <c:order val="2"/>
          <c:tx>
            <c:strRef>
              <c:f>Лист1!$D$1</c:f>
              <c:strCache>
                <c:ptCount val="1"/>
                <c:pt idx="0">
                  <c:v>Строительство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Лист1!$D$2:$D$6</c:f>
              <c:numCache>
                <c:formatCode>0%</c:formatCode>
                <c:ptCount val="5"/>
                <c:pt idx="0">
                  <c:v>7.0000000000000021E-2</c:v>
                </c:pt>
                <c:pt idx="1">
                  <c:v>8.0000000000000043E-2</c:v>
                </c:pt>
                <c:pt idx="2">
                  <c:v>7.0000000000000021E-2</c:v>
                </c:pt>
                <c:pt idx="3">
                  <c:v>7.0000000000000021E-2</c:v>
                </c:pt>
                <c:pt idx="4">
                  <c:v>7.0000000000000021E-2</c:v>
                </c:pt>
              </c:numCache>
            </c:numRef>
          </c:val>
          <c:extLst>
            <c:ext xmlns:c16="http://schemas.microsoft.com/office/drawing/2014/chart" uri="{C3380CC4-5D6E-409C-BE32-E72D297353CC}">
              <c16:uniqueId val="{00000002-95DA-4D97-B9C8-27346CE70665}"/>
            </c:ext>
          </c:extLst>
        </c:ser>
        <c:ser>
          <c:idx val="3"/>
          <c:order val="3"/>
          <c:tx>
            <c:strRef>
              <c:f>Лист1!$E$1</c:f>
              <c:strCache>
                <c:ptCount val="1"/>
                <c:pt idx="0">
                  <c:v>Операции с недвижимым имуществом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Лист1!$E$2:$E$6</c:f>
              <c:numCache>
                <c:formatCode>0%</c:formatCode>
                <c:ptCount val="5"/>
                <c:pt idx="0">
                  <c:v>6.0000000000000032E-2</c:v>
                </c:pt>
                <c:pt idx="1">
                  <c:v>4.0000000000000022E-2</c:v>
                </c:pt>
                <c:pt idx="2">
                  <c:v>7.0000000000000021E-2</c:v>
                </c:pt>
                <c:pt idx="3">
                  <c:v>7.0000000000000021E-2</c:v>
                </c:pt>
                <c:pt idx="4">
                  <c:v>7.0000000000000021E-2</c:v>
                </c:pt>
              </c:numCache>
            </c:numRef>
          </c:val>
          <c:extLst>
            <c:ext xmlns:c16="http://schemas.microsoft.com/office/drawing/2014/chart" uri="{C3380CC4-5D6E-409C-BE32-E72D297353CC}">
              <c16:uniqueId val="{00000003-95DA-4D97-B9C8-27346CE70665}"/>
            </c:ext>
          </c:extLst>
        </c:ser>
        <c:ser>
          <c:idx val="4"/>
          <c:order val="4"/>
          <c:tx>
            <c:strRef>
              <c:f>Лист1!$F$1</c:f>
              <c:strCache>
                <c:ptCount val="1"/>
                <c:pt idx="0">
                  <c:v>Другое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Лист1!$F$2:$F$6</c:f>
              <c:numCache>
                <c:formatCode>0%</c:formatCode>
                <c:ptCount val="5"/>
                <c:pt idx="0">
                  <c:v>0.28000000000000008</c:v>
                </c:pt>
                <c:pt idx="1">
                  <c:v>0.24000000000000021</c:v>
                </c:pt>
                <c:pt idx="2">
                  <c:v>0.22</c:v>
                </c:pt>
                <c:pt idx="3">
                  <c:v>0.23</c:v>
                </c:pt>
                <c:pt idx="4">
                  <c:v>0.22</c:v>
                </c:pt>
              </c:numCache>
            </c:numRef>
          </c:val>
          <c:extLst>
            <c:ext xmlns:c16="http://schemas.microsoft.com/office/drawing/2014/chart" uri="{C3380CC4-5D6E-409C-BE32-E72D297353CC}">
              <c16:uniqueId val="{00000004-95DA-4D97-B9C8-27346CE70665}"/>
            </c:ext>
          </c:extLst>
        </c:ser>
        <c:dLbls>
          <c:showLegendKey val="0"/>
          <c:showVal val="1"/>
          <c:showCatName val="0"/>
          <c:showSerName val="0"/>
          <c:showPercent val="0"/>
          <c:showBubbleSize val="0"/>
        </c:dLbls>
        <c:gapWidth val="150"/>
        <c:overlap val="100"/>
        <c:axId val="145026048"/>
        <c:axId val="145118336"/>
      </c:barChart>
      <c:catAx>
        <c:axId val="145026048"/>
        <c:scaling>
          <c:orientation val="minMax"/>
        </c:scaling>
        <c:delete val="0"/>
        <c:axPos val="b"/>
        <c:title>
          <c:tx>
            <c:rich>
              <a:bodyPr/>
              <a:lstStyle/>
              <a:p>
                <a:pPr>
                  <a:defRPr/>
                </a:pPr>
                <a:r>
                  <a:rPr lang="ru-RU"/>
                  <a:t>Годы</a:t>
                </a:r>
              </a:p>
            </c:rich>
          </c:tx>
          <c:overlay val="0"/>
        </c:title>
        <c:numFmt formatCode="General" sourceLinked="1"/>
        <c:majorTickMark val="out"/>
        <c:minorTickMark val="none"/>
        <c:tickLblPos val="nextTo"/>
        <c:crossAx val="145118336"/>
        <c:crosses val="autoZero"/>
        <c:auto val="1"/>
        <c:lblAlgn val="ctr"/>
        <c:lblOffset val="100"/>
        <c:noMultiLvlLbl val="0"/>
      </c:catAx>
      <c:valAx>
        <c:axId val="145118336"/>
        <c:scaling>
          <c:orientation val="minMax"/>
        </c:scaling>
        <c:delete val="0"/>
        <c:axPos val="l"/>
        <c:majorGridlines/>
        <c:title>
          <c:tx>
            <c:rich>
              <a:bodyPr rot="-5400000" vert="horz"/>
              <a:lstStyle/>
              <a:p>
                <a:pPr>
                  <a:defRPr/>
                </a:pPr>
                <a:r>
                  <a:rPr lang="ru-RU"/>
                  <a:t>Проценты</a:t>
                </a:r>
              </a:p>
            </c:rich>
          </c:tx>
          <c:overlay val="0"/>
        </c:title>
        <c:numFmt formatCode="0%" sourceLinked="1"/>
        <c:majorTickMark val="out"/>
        <c:minorTickMark val="none"/>
        <c:tickLblPos val="nextTo"/>
        <c:crossAx val="1450260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Объем портфеля МСБ, трлн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4.9000000000000004</c:v>
                </c:pt>
                <c:pt idx="1">
                  <c:v>4.4000000000000004</c:v>
                </c:pt>
                <c:pt idx="2">
                  <c:v>4.2</c:v>
                </c:pt>
                <c:pt idx="3">
                  <c:v>4.2</c:v>
                </c:pt>
                <c:pt idx="4">
                  <c:v>5.8</c:v>
                </c:pt>
              </c:numCache>
            </c:numRef>
          </c:val>
          <c:extLst>
            <c:ext xmlns:c16="http://schemas.microsoft.com/office/drawing/2014/chart" uri="{C3380CC4-5D6E-409C-BE32-E72D297353CC}">
              <c16:uniqueId val="{00000000-5067-4B7E-A9EF-FB229E1799E2}"/>
            </c:ext>
          </c:extLst>
        </c:ser>
        <c:dLbls>
          <c:showLegendKey val="0"/>
          <c:showVal val="0"/>
          <c:showCatName val="0"/>
          <c:showSerName val="0"/>
          <c:showPercent val="0"/>
          <c:showBubbleSize val="0"/>
        </c:dLbls>
        <c:gapWidth val="150"/>
        <c:axId val="145123584"/>
        <c:axId val="144949632"/>
      </c:barChart>
      <c:lineChart>
        <c:grouping val="standard"/>
        <c:varyColors val="0"/>
        <c:ser>
          <c:idx val="1"/>
          <c:order val="1"/>
          <c:tx>
            <c:strRef>
              <c:f>Лист1!$C$1</c:f>
              <c:strCache>
                <c:ptCount val="1"/>
                <c:pt idx="0">
                  <c:v>Годовой темп прироста портфеля МСБ</c:v>
                </c:pt>
              </c:strCache>
            </c:strRef>
          </c:tx>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1">
                  <c:v>3.6</c:v>
                </c:pt>
                <c:pt idx="2">
                  <c:v>3.9</c:v>
                </c:pt>
                <c:pt idx="3">
                  <c:v>4.0999999999999996</c:v>
                </c:pt>
                <c:pt idx="4">
                  <c:v>5.6</c:v>
                </c:pt>
              </c:numCache>
            </c:numRef>
          </c:val>
          <c:smooth val="0"/>
          <c:extLst>
            <c:ext xmlns:c16="http://schemas.microsoft.com/office/drawing/2014/chart" uri="{C3380CC4-5D6E-409C-BE32-E72D297353CC}">
              <c16:uniqueId val="{00000001-5067-4B7E-A9EF-FB229E1799E2}"/>
            </c:ext>
          </c:extLst>
        </c:ser>
        <c:dLbls>
          <c:showLegendKey val="0"/>
          <c:showVal val="0"/>
          <c:showCatName val="0"/>
          <c:showSerName val="0"/>
          <c:showPercent val="0"/>
          <c:showBubbleSize val="0"/>
        </c:dLbls>
        <c:marker val="1"/>
        <c:smooth val="0"/>
        <c:axId val="145123584"/>
        <c:axId val="144949632"/>
      </c:lineChart>
      <c:catAx>
        <c:axId val="145123584"/>
        <c:scaling>
          <c:orientation val="minMax"/>
        </c:scaling>
        <c:delete val="0"/>
        <c:axPos val="b"/>
        <c:title>
          <c:tx>
            <c:rich>
              <a:bodyPr/>
              <a:lstStyle/>
              <a:p>
                <a:pPr>
                  <a:defRPr/>
                </a:pPr>
                <a:r>
                  <a:rPr lang="ru-RU"/>
                  <a:t>Годы</a:t>
                </a:r>
              </a:p>
            </c:rich>
          </c:tx>
          <c:overlay val="0"/>
        </c:title>
        <c:numFmt formatCode="General" sourceLinked="1"/>
        <c:majorTickMark val="out"/>
        <c:minorTickMark val="none"/>
        <c:tickLblPos val="nextTo"/>
        <c:crossAx val="144949632"/>
        <c:crosses val="autoZero"/>
        <c:auto val="1"/>
        <c:lblAlgn val="ctr"/>
        <c:lblOffset val="100"/>
        <c:noMultiLvlLbl val="0"/>
      </c:catAx>
      <c:valAx>
        <c:axId val="144949632"/>
        <c:scaling>
          <c:orientation val="minMax"/>
        </c:scaling>
        <c:delete val="0"/>
        <c:axPos val="l"/>
        <c:majorGridlines/>
        <c:title>
          <c:tx>
            <c:rich>
              <a:bodyPr rot="-5400000" vert="horz"/>
              <a:lstStyle/>
              <a:p>
                <a:pPr>
                  <a:defRPr/>
                </a:pPr>
                <a:r>
                  <a:rPr lang="ru-RU"/>
                  <a:t>Трлн рублей</a:t>
                </a:r>
              </a:p>
            </c:rich>
          </c:tx>
          <c:overlay val="0"/>
        </c:title>
        <c:numFmt formatCode="General" sourceLinked="1"/>
        <c:majorTickMark val="out"/>
        <c:minorTickMark val="none"/>
        <c:tickLblPos val="nextTo"/>
        <c:crossAx val="14512358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Объем кредитов, выданных МСБ за год, трлн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5.3</c:v>
                </c:pt>
                <c:pt idx="1">
                  <c:v>6.1</c:v>
                </c:pt>
                <c:pt idx="2">
                  <c:v>6.8</c:v>
                </c:pt>
                <c:pt idx="3">
                  <c:v>6.1</c:v>
                </c:pt>
                <c:pt idx="4">
                  <c:v>7.6</c:v>
                </c:pt>
              </c:numCache>
            </c:numRef>
          </c:val>
          <c:extLst>
            <c:ext xmlns:c16="http://schemas.microsoft.com/office/drawing/2014/chart" uri="{C3380CC4-5D6E-409C-BE32-E72D297353CC}">
              <c16:uniqueId val="{00000000-54B1-4C26-BD2A-91ED1F9E0901}"/>
            </c:ext>
          </c:extLst>
        </c:ser>
        <c:dLbls>
          <c:showLegendKey val="0"/>
          <c:showVal val="0"/>
          <c:showCatName val="0"/>
          <c:showSerName val="0"/>
          <c:showPercent val="0"/>
          <c:showBubbleSize val="0"/>
        </c:dLbls>
        <c:gapWidth val="150"/>
        <c:axId val="145483264"/>
        <c:axId val="145485184"/>
      </c:barChart>
      <c:lineChart>
        <c:grouping val="standard"/>
        <c:varyColors val="0"/>
        <c:ser>
          <c:idx val="1"/>
          <c:order val="1"/>
          <c:tx>
            <c:strRef>
              <c:f>Лист1!$C$1</c:f>
              <c:strCache>
                <c:ptCount val="1"/>
                <c:pt idx="0">
                  <c:v>Годовой темп прироста объема кредитов, выданных МСБ</c:v>
                </c:pt>
              </c:strCache>
            </c:strRef>
          </c:tx>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1">
                  <c:v>5.0999999999999996</c:v>
                </c:pt>
                <c:pt idx="2">
                  <c:v>6</c:v>
                </c:pt>
                <c:pt idx="3">
                  <c:v>5.0999999999999996</c:v>
                </c:pt>
                <c:pt idx="4">
                  <c:v>7.3</c:v>
                </c:pt>
              </c:numCache>
            </c:numRef>
          </c:val>
          <c:smooth val="0"/>
          <c:extLst>
            <c:ext xmlns:c16="http://schemas.microsoft.com/office/drawing/2014/chart" uri="{C3380CC4-5D6E-409C-BE32-E72D297353CC}">
              <c16:uniqueId val="{00000001-54B1-4C26-BD2A-91ED1F9E0901}"/>
            </c:ext>
          </c:extLst>
        </c:ser>
        <c:dLbls>
          <c:showLegendKey val="0"/>
          <c:showVal val="0"/>
          <c:showCatName val="0"/>
          <c:showSerName val="0"/>
          <c:showPercent val="0"/>
          <c:showBubbleSize val="0"/>
        </c:dLbls>
        <c:marker val="1"/>
        <c:smooth val="0"/>
        <c:axId val="145483264"/>
        <c:axId val="145485184"/>
      </c:lineChart>
      <c:catAx>
        <c:axId val="145483264"/>
        <c:scaling>
          <c:orientation val="minMax"/>
        </c:scaling>
        <c:delete val="0"/>
        <c:axPos val="b"/>
        <c:title>
          <c:tx>
            <c:rich>
              <a:bodyPr/>
              <a:lstStyle/>
              <a:p>
                <a:pPr>
                  <a:defRPr/>
                </a:pPr>
                <a:r>
                  <a:rPr lang="ru-RU"/>
                  <a:t>Годы</a:t>
                </a:r>
              </a:p>
            </c:rich>
          </c:tx>
          <c:overlay val="0"/>
        </c:title>
        <c:numFmt formatCode="General" sourceLinked="1"/>
        <c:majorTickMark val="out"/>
        <c:minorTickMark val="none"/>
        <c:tickLblPos val="nextTo"/>
        <c:crossAx val="145485184"/>
        <c:crosses val="autoZero"/>
        <c:auto val="1"/>
        <c:lblAlgn val="ctr"/>
        <c:lblOffset val="100"/>
        <c:noMultiLvlLbl val="0"/>
      </c:catAx>
      <c:valAx>
        <c:axId val="145485184"/>
        <c:scaling>
          <c:orientation val="minMax"/>
        </c:scaling>
        <c:delete val="0"/>
        <c:axPos val="l"/>
        <c:majorGridlines/>
        <c:title>
          <c:tx>
            <c:rich>
              <a:bodyPr rot="-5400000" vert="horz"/>
              <a:lstStyle/>
              <a:p>
                <a:pPr>
                  <a:defRPr/>
                </a:pPr>
                <a:r>
                  <a:rPr lang="ru-RU"/>
                  <a:t>Трлн рублей</a:t>
                </a:r>
              </a:p>
            </c:rich>
          </c:tx>
          <c:overlay val="0"/>
        </c:title>
        <c:numFmt formatCode="General" sourceLinked="1"/>
        <c:majorTickMark val="out"/>
        <c:minorTickMark val="none"/>
        <c:tickLblPos val="nextTo"/>
        <c:crossAx val="14548326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Лист1!$B$1</c:f>
              <c:strCache>
                <c:ptCount val="1"/>
                <c:pt idx="0">
                  <c:v>Средневзвешенная кредитная ставка до 1 года, % годовых</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2017/2016</c:v>
                </c:pt>
                <c:pt idx="1">
                  <c:v>2018/2017</c:v>
                </c:pt>
                <c:pt idx="2">
                  <c:v>2019/2018</c:v>
                </c:pt>
                <c:pt idx="3">
                  <c:v>2020/2019</c:v>
                </c:pt>
              </c:strCache>
            </c:strRef>
          </c:cat>
          <c:val>
            <c:numRef>
              <c:f>Лист1!$B$2:$B$5</c:f>
              <c:numCache>
                <c:formatCode>General</c:formatCode>
                <c:ptCount val="4"/>
                <c:pt idx="0">
                  <c:v>-9.2000000000000011</c:v>
                </c:pt>
                <c:pt idx="1">
                  <c:v>-12.7</c:v>
                </c:pt>
                <c:pt idx="2">
                  <c:v>-14.9</c:v>
                </c:pt>
                <c:pt idx="3">
                  <c:v>-26</c:v>
                </c:pt>
              </c:numCache>
            </c:numRef>
          </c:val>
          <c:smooth val="0"/>
          <c:extLst>
            <c:ext xmlns:c16="http://schemas.microsoft.com/office/drawing/2014/chart" uri="{C3380CC4-5D6E-409C-BE32-E72D297353CC}">
              <c16:uniqueId val="{00000000-447A-44AC-81C0-8FE0A0980CB8}"/>
            </c:ext>
          </c:extLst>
        </c:ser>
        <c:ser>
          <c:idx val="1"/>
          <c:order val="1"/>
          <c:tx>
            <c:strRef>
              <c:f>Лист1!$C$1</c:f>
              <c:strCache>
                <c:ptCount val="1"/>
                <c:pt idx="0">
                  <c:v>Средневзвешенная кредитная ставка свыше 1 года, % годовых</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2017/2016</c:v>
                </c:pt>
                <c:pt idx="1">
                  <c:v>2018/2017</c:v>
                </c:pt>
                <c:pt idx="2">
                  <c:v>2019/2018</c:v>
                </c:pt>
                <c:pt idx="3">
                  <c:v>2020/2019</c:v>
                </c:pt>
              </c:strCache>
            </c:strRef>
          </c:cat>
          <c:val>
            <c:numRef>
              <c:f>Лист1!$C$2:$C$5</c:f>
              <c:numCache>
                <c:formatCode>General</c:formatCode>
                <c:ptCount val="4"/>
                <c:pt idx="0">
                  <c:v>-11.25</c:v>
                </c:pt>
                <c:pt idx="1">
                  <c:v>-15.2</c:v>
                </c:pt>
                <c:pt idx="2">
                  <c:v>-9.8000000000000007</c:v>
                </c:pt>
                <c:pt idx="3">
                  <c:v>-29</c:v>
                </c:pt>
              </c:numCache>
            </c:numRef>
          </c:val>
          <c:smooth val="0"/>
          <c:extLst>
            <c:ext xmlns:c16="http://schemas.microsoft.com/office/drawing/2014/chart" uri="{C3380CC4-5D6E-409C-BE32-E72D297353CC}">
              <c16:uniqueId val="{00000001-447A-44AC-81C0-8FE0A0980CB8}"/>
            </c:ext>
          </c:extLst>
        </c:ser>
        <c:ser>
          <c:idx val="2"/>
          <c:order val="2"/>
          <c:tx>
            <c:strRef>
              <c:f>Лист1!$D$1</c:f>
              <c:strCache>
                <c:ptCount val="1"/>
                <c:pt idx="0">
                  <c:v>Среднегодовая ключевая ставка Банка России,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2017/2016</c:v>
                </c:pt>
                <c:pt idx="1">
                  <c:v>2018/2017</c:v>
                </c:pt>
                <c:pt idx="2">
                  <c:v>2019/2018</c:v>
                </c:pt>
                <c:pt idx="3">
                  <c:v>2020/2019</c:v>
                </c:pt>
              </c:strCache>
            </c:strRef>
          </c:cat>
          <c:val>
            <c:numRef>
              <c:f>Лист1!$D$2:$D$5</c:f>
              <c:numCache>
                <c:formatCode>General</c:formatCode>
                <c:ptCount val="4"/>
                <c:pt idx="0">
                  <c:v>-12.19</c:v>
                </c:pt>
                <c:pt idx="1">
                  <c:v>-19.399999999999999</c:v>
                </c:pt>
                <c:pt idx="2">
                  <c:v>-3.44</c:v>
                </c:pt>
                <c:pt idx="3">
                  <c:v>-14</c:v>
                </c:pt>
              </c:numCache>
            </c:numRef>
          </c:val>
          <c:smooth val="0"/>
          <c:extLst>
            <c:ext xmlns:c16="http://schemas.microsoft.com/office/drawing/2014/chart" uri="{C3380CC4-5D6E-409C-BE32-E72D297353CC}">
              <c16:uniqueId val="{00000002-447A-44AC-81C0-8FE0A0980CB8}"/>
            </c:ext>
          </c:extLst>
        </c:ser>
        <c:dLbls>
          <c:showLegendKey val="0"/>
          <c:showVal val="1"/>
          <c:showCatName val="0"/>
          <c:showSerName val="0"/>
          <c:showPercent val="0"/>
          <c:showBubbleSize val="0"/>
        </c:dLbls>
        <c:marker val="1"/>
        <c:smooth val="0"/>
        <c:axId val="132159360"/>
        <c:axId val="132173824"/>
      </c:lineChart>
      <c:catAx>
        <c:axId val="132159360"/>
        <c:scaling>
          <c:orientation val="minMax"/>
        </c:scaling>
        <c:delete val="0"/>
        <c:axPos val="b"/>
        <c:title>
          <c:tx>
            <c:rich>
              <a:bodyPr/>
              <a:lstStyle/>
              <a:p>
                <a:pPr>
                  <a:defRPr/>
                </a:pPr>
                <a:r>
                  <a:rPr lang="ru-RU"/>
                  <a:t>Период</a:t>
                </a:r>
              </a:p>
            </c:rich>
          </c:tx>
          <c:overlay val="0"/>
        </c:title>
        <c:numFmt formatCode="General" sourceLinked="1"/>
        <c:majorTickMark val="out"/>
        <c:minorTickMark val="none"/>
        <c:tickLblPos val="nextTo"/>
        <c:crossAx val="132173824"/>
        <c:crosses val="autoZero"/>
        <c:auto val="1"/>
        <c:lblAlgn val="ctr"/>
        <c:lblOffset val="100"/>
        <c:noMultiLvlLbl val="0"/>
      </c:catAx>
      <c:valAx>
        <c:axId val="132173824"/>
        <c:scaling>
          <c:orientation val="minMax"/>
        </c:scaling>
        <c:delete val="0"/>
        <c:axPos val="l"/>
        <c:majorGridlines/>
        <c:title>
          <c:tx>
            <c:rich>
              <a:bodyPr rot="-5400000" vert="horz"/>
              <a:lstStyle/>
              <a:p>
                <a:pPr>
                  <a:defRPr/>
                </a:pPr>
                <a:r>
                  <a:rPr lang="ru-RU"/>
                  <a:t>Прирост</a:t>
                </a:r>
              </a:p>
            </c:rich>
          </c:tx>
          <c:overlay val="0"/>
        </c:title>
        <c:numFmt formatCode="General" sourceLinked="1"/>
        <c:majorTickMark val="out"/>
        <c:minorTickMark val="none"/>
        <c:tickLblPos val="nextTo"/>
        <c:crossAx val="13215936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Задолженность субъектов МСБ, трлн руб.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4.9000000000000004</c:v>
                </c:pt>
                <c:pt idx="1">
                  <c:v>4.4000000000000004</c:v>
                </c:pt>
                <c:pt idx="2">
                  <c:v>4.2</c:v>
                </c:pt>
                <c:pt idx="3">
                  <c:v>4.7</c:v>
                </c:pt>
                <c:pt idx="4">
                  <c:v>4.3</c:v>
                </c:pt>
              </c:numCache>
            </c:numRef>
          </c:val>
          <c:extLst>
            <c:ext xmlns:c16="http://schemas.microsoft.com/office/drawing/2014/chart" uri="{C3380CC4-5D6E-409C-BE32-E72D297353CC}">
              <c16:uniqueId val="{00000000-3BC4-4458-865D-0059AB4C02D0}"/>
            </c:ext>
          </c:extLst>
        </c:ser>
        <c:dLbls>
          <c:showLegendKey val="0"/>
          <c:showVal val="0"/>
          <c:showCatName val="0"/>
          <c:showSerName val="0"/>
          <c:showPercent val="0"/>
          <c:showBubbleSize val="0"/>
        </c:dLbls>
        <c:gapWidth val="150"/>
        <c:axId val="142529664"/>
        <c:axId val="142531584"/>
      </c:barChart>
      <c:lineChart>
        <c:grouping val="standard"/>
        <c:varyColors val="0"/>
        <c:ser>
          <c:idx val="1"/>
          <c:order val="1"/>
          <c:tx>
            <c:strRef>
              <c:f>Лист1!$C$1</c:f>
              <c:strCache>
                <c:ptCount val="1"/>
                <c:pt idx="0">
                  <c:v>Годовой темп прироста задолженности субъектов МСБ</c:v>
                </c:pt>
              </c:strCache>
            </c:strRef>
          </c:tx>
          <c:cat>
            <c:numRef>
              <c:f>Лист1!$A$2:$A$6</c:f>
              <c:numCache>
                <c:formatCode>General</c:formatCode>
                <c:ptCount val="5"/>
                <c:pt idx="0">
                  <c:v>2016</c:v>
                </c:pt>
                <c:pt idx="1">
                  <c:v>2017</c:v>
                </c:pt>
                <c:pt idx="2">
                  <c:v>2018</c:v>
                </c:pt>
                <c:pt idx="3">
                  <c:v>2019</c:v>
                </c:pt>
                <c:pt idx="4">
                  <c:v>2020</c:v>
                </c:pt>
              </c:numCache>
            </c:numRef>
          </c:cat>
          <c:val>
            <c:numRef>
              <c:f>Лист1!$C$2:$C$6</c:f>
              <c:numCache>
                <c:formatCode>General</c:formatCode>
                <c:ptCount val="5"/>
                <c:pt idx="1">
                  <c:v>3.1</c:v>
                </c:pt>
                <c:pt idx="2">
                  <c:v>3.3</c:v>
                </c:pt>
                <c:pt idx="3">
                  <c:v>4.2</c:v>
                </c:pt>
                <c:pt idx="4">
                  <c:v>4</c:v>
                </c:pt>
              </c:numCache>
            </c:numRef>
          </c:val>
          <c:smooth val="0"/>
          <c:extLst>
            <c:ext xmlns:c16="http://schemas.microsoft.com/office/drawing/2014/chart" uri="{C3380CC4-5D6E-409C-BE32-E72D297353CC}">
              <c16:uniqueId val="{00000001-3BC4-4458-865D-0059AB4C02D0}"/>
            </c:ext>
          </c:extLst>
        </c:ser>
        <c:dLbls>
          <c:showLegendKey val="0"/>
          <c:showVal val="0"/>
          <c:showCatName val="0"/>
          <c:showSerName val="0"/>
          <c:showPercent val="0"/>
          <c:showBubbleSize val="0"/>
        </c:dLbls>
        <c:marker val="1"/>
        <c:smooth val="0"/>
        <c:axId val="142529664"/>
        <c:axId val="142531584"/>
      </c:lineChart>
      <c:catAx>
        <c:axId val="142529664"/>
        <c:scaling>
          <c:orientation val="minMax"/>
        </c:scaling>
        <c:delete val="0"/>
        <c:axPos val="b"/>
        <c:title>
          <c:tx>
            <c:rich>
              <a:bodyPr/>
              <a:lstStyle/>
              <a:p>
                <a:pPr>
                  <a:defRPr/>
                </a:pPr>
                <a:r>
                  <a:rPr lang="ru-RU"/>
                  <a:t>Годы</a:t>
                </a:r>
              </a:p>
            </c:rich>
          </c:tx>
          <c:overlay val="0"/>
        </c:title>
        <c:numFmt formatCode="General" sourceLinked="1"/>
        <c:majorTickMark val="out"/>
        <c:minorTickMark val="none"/>
        <c:tickLblPos val="nextTo"/>
        <c:crossAx val="142531584"/>
        <c:crosses val="autoZero"/>
        <c:auto val="1"/>
        <c:lblAlgn val="ctr"/>
        <c:lblOffset val="100"/>
        <c:noMultiLvlLbl val="0"/>
      </c:catAx>
      <c:valAx>
        <c:axId val="142531584"/>
        <c:scaling>
          <c:orientation val="minMax"/>
        </c:scaling>
        <c:delete val="0"/>
        <c:axPos val="l"/>
        <c:majorGridlines/>
        <c:title>
          <c:tx>
            <c:rich>
              <a:bodyPr rot="-5400000" vert="horz"/>
              <a:lstStyle/>
              <a:p>
                <a:pPr>
                  <a:defRPr/>
                </a:pPr>
                <a:r>
                  <a:rPr lang="ru-RU"/>
                  <a:t>Трлн рублей</a:t>
                </a:r>
              </a:p>
            </c:rich>
          </c:tx>
          <c:overlay val="0"/>
        </c:title>
        <c:numFmt formatCode="General" sourceLinked="1"/>
        <c:majorTickMark val="out"/>
        <c:minorTickMark val="none"/>
        <c:tickLblPos val="nextTo"/>
        <c:crossAx val="14252966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0.21404</cdr:x>
      <cdr:y>0.38871</cdr:y>
    </cdr:from>
    <cdr:to>
      <cdr:x>0.30707</cdr:x>
      <cdr:y>0.45847</cdr:y>
    </cdr:to>
    <cdr:sp macro="" textlink="">
      <cdr:nvSpPr>
        <cdr:cNvPr id="2" name="TextBox 1"/>
        <cdr:cNvSpPr txBox="1"/>
      </cdr:nvSpPr>
      <cdr:spPr>
        <a:xfrm xmlns:a="http://schemas.openxmlformats.org/drawingml/2006/main">
          <a:off x="1185992" y="1269935"/>
          <a:ext cx="515481" cy="2279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-10%</a:t>
          </a:r>
        </a:p>
      </cdr:txBody>
    </cdr:sp>
  </cdr:relSizeAnchor>
  <cdr:relSizeAnchor xmlns:cdr="http://schemas.openxmlformats.org/drawingml/2006/chartDrawing">
    <cdr:from>
      <cdr:x>0.30254</cdr:x>
      <cdr:y>0.36097</cdr:y>
    </cdr:from>
    <cdr:to>
      <cdr:x>0.41197</cdr:x>
      <cdr:y>0.41983</cdr:y>
    </cdr:to>
    <cdr:sp macro="" textlink="">
      <cdr:nvSpPr>
        <cdr:cNvPr id="3" name="TextBox 2"/>
        <cdr:cNvSpPr txBox="1"/>
      </cdr:nvSpPr>
      <cdr:spPr>
        <a:xfrm xmlns:a="http://schemas.openxmlformats.org/drawingml/2006/main">
          <a:off x="1676400" y="1179316"/>
          <a:ext cx="606325" cy="192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-4,5%</a:t>
          </a:r>
        </a:p>
      </cdr:txBody>
    </cdr:sp>
  </cdr:relSizeAnchor>
  <cdr:relSizeAnchor xmlns:cdr="http://schemas.openxmlformats.org/drawingml/2006/chartDrawing">
    <cdr:from>
      <cdr:x>0.43222</cdr:x>
      <cdr:y>0.33236</cdr:y>
    </cdr:from>
    <cdr:to>
      <cdr:x>0.53106</cdr:x>
      <cdr:y>0.40213</cdr:y>
    </cdr:to>
    <cdr:sp macro="" textlink="">
      <cdr:nvSpPr>
        <cdr:cNvPr id="4" name="TextBox 3"/>
        <cdr:cNvSpPr txBox="1"/>
      </cdr:nvSpPr>
      <cdr:spPr>
        <a:xfrm xmlns:a="http://schemas.openxmlformats.org/drawingml/2006/main">
          <a:off x="2394952" y="1085836"/>
          <a:ext cx="547674" cy="2279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0%</a:t>
          </a:r>
        </a:p>
      </cdr:txBody>
    </cdr:sp>
  </cdr:relSizeAnchor>
  <cdr:relSizeAnchor xmlns:cdr="http://schemas.openxmlformats.org/drawingml/2006/chartDrawing">
    <cdr:from>
      <cdr:x>0.53117</cdr:x>
      <cdr:y>0.1691</cdr:y>
    </cdr:from>
    <cdr:to>
      <cdr:x>0.63001</cdr:x>
      <cdr:y>0.23887</cdr:y>
    </cdr:to>
    <cdr:sp macro="" textlink="">
      <cdr:nvSpPr>
        <cdr:cNvPr id="5" name="TextBox 1"/>
        <cdr:cNvSpPr txBox="1"/>
      </cdr:nvSpPr>
      <cdr:spPr>
        <a:xfrm xmlns:a="http://schemas.openxmlformats.org/drawingml/2006/main">
          <a:off x="2943225" y="552450"/>
          <a:ext cx="547674" cy="2279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a:t>38%</a:t>
          </a:r>
        </a:p>
      </cdr:txBody>
    </cdr:sp>
  </cdr:relSizeAnchor>
</c:userShapes>
</file>

<file path=word/drawings/drawing2.xml><?xml version="1.0" encoding="utf-8"?>
<c:userShapes xmlns:c="http://schemas.openxmlformats.org/drawingml/2006/chart">
  <cdr:relSizeAnchor xmlns:cdr="http://schemas.openxmlformats.org/drawingml/2006/chartDrawing">
    <cdr:from>
      <cdr:x>0.12056</cdr:x>
      <cdr:y>0.3422</cdr:y>
    </cdr:from>
    <cdr:to>
      <cdr:x>0.21359</cdr:x>
      <cdr:y>0.41196</cdr:y>
    </cdr:to>
    <cdr:sp macro="" textlink="">
      <cdr:nvSpPr>
        <cdr:cNvPr id="2" name="TextBox 1"/>
        <cdr:cNvSpPr txBox="1"/>
      </cdr:nvSpPr>
      <cdr:spPr>
        <a:xfrm xmlns:a="http://schemas.openxmlformats.org/drawingml/2006/main">
          <a:off x="661418" y="1095163"/>
          <a:ext cx="510400" cy="2232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-3,6%</a:t>
          </a:r>
        </a:p>
      </cdr:txBody>
    </cdr:sp>
  </cdr:relSizeAnchor>
  <cdr:relSizeAnchor xmlns:cdr="http://schemas.openxmlformats.org/drawingml/2006/chartDrawing">
    <cdr:from>
      <cdr:x>0.19805</cdr:x>
      <cdr:y>0.25417</cdr:y>
    </cdr:from>
    <cdr:to>
      <cdr:x>0.32032</cdr:x>
      <cdr:y>0.36981</cdr:y>
    </cdr:to>
    <cdr:sp macro="" textlink="">
      <cdr:nvSpPr>
        <cdr:cNvPr id="3" name="TextBox 2"/>
        <cdr:cNvSpPr txBox="1"/>
      </cdr:nvSpPr>
      <cdr:spPr>
        <a:xfrm xmlns:a="http://schemas.openxmlformats.org/drawingml/2006/main">
          <a:off x="981076" y="641558"/>
          <a:ext cx="605682" cy="2918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11,4%</a:t>
          </a:r>
        </a:p>
      </cdr:txBody>
    </cdr:sp>
  </cdr:relSizeAnchor>
  <cdr:relSizeAnchor xmlns:cdr="http://schemas.openxmlformats.org/drawingml/2006/chartDrawing">
    <cdr:from>
      <cdr:x>0.30381</cdr:x>
      <cdr:y>0.19933</cdr:y>
    </cdr:from>
    <cdr:to>
      <cdr:x>0.42531</cdr:x>
      <cdr:y>0.27547</cdr:y>
    </cdr:to>
    <cdr:sp macro="" textlink="">
      <cdr:nvSpPr>
        <cdr:cNvPr id="4" name="TextBox 3"/>
        <cdr:cNvSpPr txBox="1"/>
      </cdr:nvSpPr>
      <cdr:spPr>
        <a:xfrm xmlns:a="http://schemas.openxmlformats.org/drawingml/2006/main">
          <a:off x="1504950" y="503133"/>
          <a:ext cx="601878" cy="1921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11,4%</a:t>
          </a:r>
        </a:p>
      </cdr:txBody>
    </cdr:sp>
  </cdr:relSizeAnchor>
  <cdr:relSizeAnchor xmlns:cdr="http://schemas.openxmlformats.org/drawingml/2006/chartDrawing">
    <cdr:from>
      <cdr:x>0.40825</cdr:x>
      <cdr:y>0.2566</cdr:y>
    </cdr:from>
    <cdr:to>
      <cdr:x>0.5129</cdr:x>
      <cdr:y>0.34416</cdr:y>
    </cdr:to>
    <cdr:sp macro="" textlink="">
      <cdr:nvSpPr>
        <cdr:cNvPr id="5" name="TextBox 4"/>
        <cdr:cNvSpPr txBox="1"/>
      </cdr:nvSpPr>
      <cdr:spPr>
        <a:xfrm xmlns:a="http://schemas.openxmlformats.org/drawingml/2006/main">
          <a:off x="2022315" y="647700"/>
          <a:ext cx="518398" cy="2210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-10%</a:t>
          </a:r>
        </a:p>
      </cdr:txBody>
    </cdr:sp>
  </cdr:relSizeAnchor>
  <cdr:relSizeAnchor xmlns:cdr="http://schemas.openxmlformats.org/drawingml/2006/chartDrawing">
    <cdr:from>
      <cdr:x>0.51724</cdr:x>
      <cdr:y>0.08302</cdr:y>
    </cdr:from>
    <cdr:to>
      <cdr:x>0.62189</cdr:x>
      <cdr:y>0.17057</cdr:y>
    </cdr:to>
    <cdr:sp macro="" textlink="">
      <cdr:nvSpPr>
        <cdr:cNvPr id="6" name="TextBox 1"/>
        <cdr:cNvSpPr txBox="1"/>
      </cdr:nvSpPr>
      <cdr:spPr>
        <a:xfrm xmlns:a="http://schemas.openxmlformats.org/drawingml/2006/main">
          <a:off x="2562225" y="209550"/>
          <a:ext cx="518398" cy="2210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a:t>24%</a:t>
          </a:r>
        </a:p>
      </cdr:txBody>
    </cdr:sp>
  </cdr:relSizeAnchor>
</c:userShapes>
</file>

<file path=word/drawings/drawing3.xml><?xml version="1.0" encoding="utf-8"?>
<c:userShapes xmlns:c="http://schemas.openxmlformats.org/drawingml/2006/chart">
  <cdr:relSizeAnchor xmlns:cdr="http://schemas.openxmlformats.org/drawingml/2006/chartDrawing">
    <cdr:from>
      <cdr:x>0.21084</cdr:x>
      <cdr:y>0.37196</cdr:y>
    </cdr:from>
    <cdr:to>
      <cdr:x>0.30387</cdr:x>
      <cdr:y>0.44172</cdr:y>
    </cdr:to>
    <cdr:sp macro="" textlink="">
      <cdr:nvSpPr>
        <cdr:cNvPr id="2" name="TextBox 1"/>
        <cdr:cNvSpPr txBox="1"/>
      </cdr:nvSpPr>
      <cdr:spPr>
        <a:xfrm xmlns:a="http://schemas.openxmlformats.org/drawingml/2006/main">
          <a:off x="1156740" y="1190427"/>
          <a:ext cx="510400" cy="2232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-10%</a:t>
          </a:r>
        </a:p>
      </cdr:txBody>
    </cdr:sp>
  </cdr:relSizeAnchor>
  <cdr:relSizeAnchor xmlns:cdr="http://schemas.openxmlformats.org/drawingml/2006/chartDrawing">
    <cdr:from>
      <cdr:x>0.32372</cdr:x>
      <cdr:y>0.34669</cdr:y>
    </cdr:from>
    <cdr:to>
      <cdr:x>0.44194</cdr:x>
      <cdr:y>0.41978</cdr:y>
    </cdr:to>
    <cdr:sp macro="" textlink="">
      <cdr:nvSpPr>
        <cdr:cNvPr id="3" name="TextBox 2"/>
        <cdr:cNvSpPr txBox="1"/>
      </cdr:nvSpPr>
      <cdr:spPr>
        <a:xfrm xmlns:a="http://schemas.openxmlformats.org/drawingml/2006/main">
          <a:off x="1776082" y="1109545"/>
          <a:ext cx="648602" cy="2339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-4,5%</a:t>
          </a:r>
        </a:p>
      </cdr:txBody>
    </cdr:sp>
  </cdr:relSizeAnchor>
  <cdr:relSizeAnchor xmlns:cdr="http://schemas.openxmlformats.org/drawingml/2006/chartDrawing">
    <cdr:from>
      <cdr:x>0.42466</cdr:x>
      <cdr:y>0.23905</cdr:y>
    </cdr:from>
    <cdr:to>
      <cdr:x>0.5235</cdr:x>
      <cdr:y>0.30882</cdr:y>
    </cdr:to>
    <cdr:sp macro="" textlink="">
      <cdr:nvSpPr>
        <cdr:cNvPr id="4" name="TextBox 3"/>
        <cdr:cNvSpPr txBox="1"/>
      </cdr:nvSpPr>
      <cdr:spPr>
        <a:xfrm xmlns:a="http://schemas.openxmlformats.org/drawingml/2006/main">
          <a:off x="2329867" y="765071"/>
          <a:ext cx="542276" cy="2232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11%</a:t>
          </a:r>
        </a:p>
      </cdr:txBody>
    </cdr:sp>
  </cdr:relSizeAnchor>
  <cdr:relSizeAnchor xmlns:cdr="http://schemas.openxmlformats.org/drawingml/2006/chartDrawing">
    <cdr:from>
      <cdr:x>0.52754</cdr:x>
      <cdr:y>0.24585</cdr:y>
    </cdr:from>
    <cdr:to>
      <cdr:x>0.63219</cdr:x>
      <cdr:y>0.30565</cdr:y>
    </cdr:to>
    <cdr:sp macro="" textlink="">
      <cdr:nvSpPr>
        <cdr:cNvPr id="5" name="TextBox 4"/>
        <cdr:cNvSpPr txBox="1"/>
      </cdr:nvSpPr>
      <cdr:spPr>
        <a:xfrm xmlns:a="http://schemas.openxmlformats.org/drawingml/2006/main">
          <a:off x="2894295" y="786806"/>
          <a:ext cx="574152" cy="1913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-8,5%</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Сольская Ирина Юрьевна</cp:lastModifiedBy>
  <cp:revision>2</cp:revision>
  <cp:lastPrinted>2021-03-15T03:26:00Z</cp:lastPrinted>
  <dcterms:created xsi:type="dcterms:W3CDTF">2021-04-07T10:44:00Z</dcterms:created>
  <dcterms:modified xsi:type="dcterms:W3CDTF">2021-04-07T10:44:00Z</dcterms:modified>
</cp:coreProperties>
</file>