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7DCC3" w14:textId="77777777" w:rsidR="00DA1B15" w:rsidRDefault="00DA1B15" w:rsidP="00DA1B15">
      <w:pPr>
        <w:spacing w:after="0" w:line="240" w:lineRule="auto"/>
      </w:pPr>
      <w:bookmarkStart w:id="0" w:name="_Hlk43035702"/>
      <w:r>
        <w:t>УДК  336.77</w:t>
      </w:r>
    </w:p>
    <w:p w14:paraId="7FACE9EC" w14:textId="77777777" w:rsidR="00DA1B15" w:rsidRPr="00613041" w:rsidRDefault="00DA1B15" w:rsidP="00DA1B15">
      <w:pPr>
        <w:spacing w:after="0" w:line="240" w:lineRule="auto"/>
        <w:jc w:val="right"/>
      </w:pPr>
      <w:bookmarkStart w:id="1" w:name="_GoBack"/>
      <w:proofErr w:type="spellStart"/>
      <w:r w:rsidRPr="00613041">
        <w:t>Сундарев</w:t>
      </w:r>
      <w:proofErr w:type="spellEnd"/>
      <w:r w:rsidRPr="00613041">
        <w:t xml:space="preserve"> Вячеслав Юрьевич</w:t>
      </w:r>
    </w:p>
    <w:p w14:paraId="2796EEB5" w14:textId="77777777" w:rsidR="00DA1B15" w:rsidRPr="00613041" w:rsidRDefault="00DA1B15" w:rsidP="00DA1B15">
      <w:pPr>
        <w:spacing w:after="0" w:line="240" w:lineRule="auto"/>
        <w:jc w:val="right"/>
      </w:pPr>
      <w:proofErr w:type="spellStart"/>
      <w:r w:rsidRPr="00613041">
        <w:rPr>
          <w:lang w:val="en-US"/>
        </w:rPr>
        <w:t>Sundarev</w:t>
      </w:r>
      <w:proofErr w:type="spellEnd"/>
      <w:r w:rsidRPr="00613041">
        <w:t xml:space="preserve"> </w:t>
      </w:r>
      <w:r w:rsidRPr="00613041">
        <w:rPr>
          <w:lang w:val="en-US"/>
        </w:rPr>
        <w:t>Vyacheslav</w:t>
      </w:r>
      <w:r w:rsidRPr="00613041">
        <w:t xml:space="preserve"> </w:t>
      </w:r>
      <w:proofErr w:type="spellStart"/>
      <w:r w:rsidRPr="00613041">
        <w:rPr>
          <w:lang w:val="en-US"/>
        </w:rPr>
        <w:t>Yurievich</w:t>
      </w:r>
      <w:proofErr w:type="spellEnd"/>
      <w:r w:rsidRPr="00613041">
        <w:t xml:space="preserve"> </w:t>
      </w:r>
    </w:p>
    <w:p w14:paraId="645065DA" w14:textId="77777777" w:rsidR="00DA1B15" w:rsidRPr="00613041" w:rsidRDefault="00613041" w:rsidP="00DA1B15">
      <w:pPr>
        <w:spacing w:after="0" w:line="240" w:lineRule="auto"/>
        <w:jc w:val="right"/>
      </w:pPr>
      <w:r>
        <w:t>магистрант</w:t>
      </w:r>
      <w:r w:rsidR="00DA1B15" w:rsidRPr="00613041">
        <w:t>, Иркутский государственный университет путей сообщения, г. Иркутск</w:t>
      </w:r>
    </w:p>
    <w:p w14:paraId="7B603CB3" w14:textId="77777777" w:rsidR="00DA1B15" w:rsidRPr="00613041" w:rsidRDefault="00613041" w:rsidP="00DA1B15">
      <w:pPr>
        <w:spacing w:after="0" w:line="240" w:lineRule="auto"/>
        <w:jc w:val="right"/>
        <w:rPr>
          <w:lang w:val="en-US"/>
        </w:rPr>
      </w:pPr>
      <w:r w:rsidRPr="00613041">
        <w:rPr>
          <w:lang w:val="en-US"/>
        </w:rPr>
        <w:t>undergraduate student</w:t>
      </w:r>
      <w:r w:rsidR="00DA1B15" w:rsidRPr="00613041">
        <w:rPr>
          <w:lang w:val="en-US"/>
        </w:rPr>
        <w:t>, Irkutsk State University of Railway Transport, Irkutsk</w:t>
      </w:r>
    </w:p>
    <w:p w14:paraId="36059D6F" w14:textId="77777777" w:rsidR="00DA1B15" w:rsidRPr="00613041" w:rsidRDefault="00DA1B15" w:rsidP="00DA1B15">
      <w:pPr>
        <w:spacing w:after="0" w:line="240" w:lineRule="auto"/>
        <w:jc w:val="right"/>
      </w:pPr>
      <w:r w:rsidRPr="00613041">
        <w:t xml:space="preserve">т.89246160844, </w:t>
      </w:r>
      <w:proofErr w:type="spellStart"/>
      <w:r w:rsidRPr="00613041">
        <w:rPr>
          <w:lang w:val="en-US"/>
        </w:rPr>
        <w:t>vsundarev</w:t>
      </w:r>
      <w:proofErr w:type="spellEnd"/>
      <w:r w:rsidRPr="00613041">
        <w:t>@</w:t>
      </w:r>
      <w:r w:rsidRPr="00613041">
        <w:rPr>
          <w:lang w:val="en-US"/>
        </w:rPr>
        <w:t>mail</w:t>
      </w:r>
      <w:r w:rsidRPr="00613041">
        <w:t>.</w:t>
      </w:r>
      <w:proofErr w:type="spellStart"/>
      <w:r w:rsidRPr="00613041">
        <w:rPr>
          <w:lang w:val="en-US"/>
        </w:rPr>
        <w:t>ru</w:t>
      </w:r>
      <w:proofErr w:type="spellEnd"/>
    </w:p>
    <w:p w14:paraId="10756F4A" w14:textId="77777777" w:rsidR="00DA1B15" w:rsidRPr="00613041" w:rsidRDefault="00DA1B15" w:rsidP="00DA1B15">
      <w:pPr>
        <w:spacing w:after="0" w:line="240" w:lineRule="auto"/>
        <w:jc w:val="right"/>
      </w:pPr>
      <w:r w:rsidRPr="00613041">
        <w:t xml:space="preserve">Яковлева Нина Валерьевна </w:t>
      </w:r>
    </w:p>
    <w:p w14:paraId="043B13B2" w14:textId="77777777" w:rsidR="00DA1B15" w:rsidRPr="00613041" w:rsidRDefault="00DA1B15" w:rsidP="00DA1B15">
      <w:pPr>
        <w:spacing w:after="0" w:line="240" w:lineRule="auto"/>
        <w:jc w:val="right"/>
      </w:pPr>
      <w:r w:rsidRPr="00613041">
        <w:t xml:space="preserve">доцент к.э.н., Иркутский государственный университет путей сообщения, г. Иркутск </w:t>
      </w:r>
    </w:p>
    <w:p w14:paraId="696F54C6" w14:textId="77777777" w:rsidR="00DA1B15" w:rsidRPr="00613041" w:rsidRDefault="00DA1B15" w:rsidP="00DA1B15">
      <w:pPr>
        <w:spacing w:after="0" w:line="240" w:lineRule="auto"/>
        <w:jc w:val="right"/>
        <w:rPr>
          <w:lang w:val="en-US"/>
        </w:rPr>
      </w:pPr>
      <w:r w:rsidRPr="00613041">
        <w:rPr>
          <w:lang w:val="en-US"/>
        </w:rPr>
        <w:t>Associate Professor, Ph. D. in Economics, Irkutsk State University of Railway Transport, Irkutsk</w:t>
      </w:r>
    </w:p>
    <w:p w14:paraId="6F142A36" w14:textId="77777777" w:rsidR="00DA1B15" w:rsidRPr="00613041" w:rsidRDefault="00DA1B15" w:rsidP="00DA1B15">
      <w:pPr>
        <w:spacing w:after="0" w:line="240" w:lineRule="auto"/>
        <w:jc w:val="right"/>
        <w:rPr>
          <w:lang w:val="en-US"/>
        </w:rPr>
      </w:pPr>
      <w:r w:rsidRPr="00613041">
        <w:t>т</w:t>
      </w:r>
      <w:r w:rsidRPr="00613041">
        <w:rPr>
          <w:lang w:val="en-US"/>
        </w:rPr>
        <w:t>.89141581421, yako.n.fbu@mail.ru</w:t>
      </w:r>
    </w:p>
    <w:p w14:paraId="73A4443D" w14:textId="77777777" w:rsidR="00DA1B15" w:rsidRPr="00613041" w:rsidRDefault="00DA1B15" w:rsidP="00DA1B15">
      <w:pPr>
        <w:spacing w:after="0" w:line="240" w:lineRule="auto"/>
        <w:jc w:val="center"/>
        <w:rPr>
          <w:b/>
          <w:lang w:val="en-US"/>
        </w:rPr>
      </w:pPr>
    </w:p>
    <w:p w14:paraId="7FDAC447" w14:textId="77777777" w:rsidR="00DA1B15" w:rsidRPr="00613041" w:rsidRDefault="00613041" w:rsidP="00613041">
      <w:pPr>
        <w:spacing w:after="0" w:line="240" w:lineRule="auto"/>
        <w:jc w:val="center"/>
        <w:rPr>
          <w:b/>
          <w:caps/>
          <w:lang w:val="en-US"/>
        </w:rPr>
      </w:pPr>
      <w:r w:rsidRPr="00613041">
        <w:rPr>
          <w:b/>
          <w:caps/>
        </w:rPr>
        <w:t>Совершенствование</w:t>
      </w:r>
      <w:r w:rsidRPr="00613041">
        <w:rPr>
          <w:b/>
          <w:caps/>
          <w:lang w:val="en-US"/>
        </w:rPr>
        <w:t xml:space="preserve"> </w:t>
      </w:r>
      <w:r w:rsidRPr="00613041">
        <w:rPr>
          <w:b/>
          <w:caps/>
        </w:rPr>
        <w:t>управления</w:t>
      </w:r>
      <w:r w:rsidRPr="00613041">
        <w:rPr>
          <w:b/>
          <w:caps/>
          <w:lang w:val="en-US"/>
        </w:rPr>
        <w:t xml:space="preserve"> </w:t>
      </w:r>
      <w:r w:rsidRPr="00613041">
        <w:rPr>
          <w:b/>
          <w:caps/>
        </w:rPr>
        <w:t>кредитным</w:t>
      </w:r>
      <w:r w:rsidRPr="00613041">
        <w:rPr>
          <w:b/>
          <w:caps/>
          <w:lang w:val="en-US"/>
        </w:rPr>
        <w:t xml:space="preserve"> </w:t>
      </w:r>
      <w:r w:rsidRPr="00613041">
        <w:rPr>
          <w:b/>
          <w:caps/>
        </w:rPr>
        <w:t>риском</w:t>
      </w:r>
      <w:r w:rsidRPr="00613041">
        <w:rPr>
          <w:b/>
          <w:caps/>
          <w:lang w:val="en-US"/>
        </w:rPr>
        <w:t xml:space="preserve"> </w:t>
      </w:r>
      <w:r w:rsidRPr="00613041">
        <w:rPr>
          <w:b/>
          <w:caps/>
        </w:rPr>
        <w:t>банка</w:t>
      </w:r>
    </w:p>
    <w:bookmarkEnd w:id="1"/>
    <w:p w14:paraId="06A8DC32" w14:textId="77777777" w:rsidR="00613041" w:rsidRPr="00613041" w:rsidRDefault="00613041" w:rsidP="00613041">
      <w:pPr>
        <w:spacing w:after="0" w:line="240" w:lineRule="auto"/>
        <w:ind w:firstLine="567"/>
        <w:contextualSpacing/>
        <w:jc w:val="center"/>
        <w:rPr>
          <w:b/>
          <w:lang w:val="en-US"/>
        </w:rPr>
      </w:pPr>
      <w:r w:rsidRPr="00613041">
        <w:rPr>
          <w:b/>
          <w:lang w:val="en-US"/>
        </w:rPr>
        <w:t>IMPROVEMENT OF THE BANK'S CREDIT RISK MANAGEMENT</w:t>
      </w:r>
    </w:p>
    <w:p w14:paraId="17141C25" w14:textId="77777777" w:rsidR="00E75816" w:rsidRPr="00613041" w:rsidRDefault="00DA1B15" w:rsidP="00E75816">
      <w:pPr>
        <w:spacing w:after="0" w:line="240" w:lineRule="auto"/>
        <w:ind w:firstLine="567"/>
        <w:contextualSpacing/>
        <w:jc w:val="both"/>
      </w:pPr>
      <w:r w:rsidRPr="00613041">
        <w:rPr>
          <w:b/>
        </w:rPr>
        <w:t>Аннотация.</w:t>
      </w:r>
      <w:r w:rsidRPr="00613041">
        <w:t xml:space="preserve"> Данная статья посвящена управлению кредитным </w:t>
      </w:r>
      <w:r w:rsidR="00613041" w:rsidRPr="00613041">
        <w:t>риском коммерческого банка. Изучены основные теоретические подходы к управлению риском. Подробно проанализированы статистические данные публичной финансовой отчетности ПАО «Сбербанк». Выявлена структура и динамика просроченных ссуд, резерва на возможные потери по ссудам, групп ссуд по категории качества. Выявив факторы</w:t>
      </w:r>
      <w:r w:rsidR="00D55A40">
        <w:t>,</w:t>
      </w:r>
      <w:r w:rsidR="00613041" w:rsidRPr="00613041">
        <w:t xml:space="preserve"> влияющие на кредитный риск ПАО «Сбербанк», авторы</w:t>
      </w:r>
      <w:r w:rsidRPr="00613041">
        <w:t xml:space="preserve"> </w:t>
      </w:r>
      <w:r w:rsidR="00613041" w:rsidRPr="00613041">
        <w:t xml:space="preserve">предлагают возможные </w:t>
      </w:r>
      <w:r w:rsidRPr="00613041">
        <w:t>методы управления кредитными рисками и пути их снижения</w:t>
      </w:r>
      <w:r w:rsidR="00613041" w:rsidRPr="00613041">
        <w:t xml:space="preserve">. </w:t>
      </w:r>
    </w:p>
    <w:p w14:paraId="798870D5" w14:textId="77777777" w:rsidR="00613041" w:rsidRPr="00613041" w:rsidRDefault="00DA1B15" w:rsidP="00613041">
      <w:pPr>
        <w:spacing w:after="0" w:line="240" w:lineRule="auto"/>
        <w:ind w:firstLine="567"/>
        <w:jc w:val="both"/>
      </w:pPr>
      <w:r w:rsidRPr="00613041">
        <w:rPr>
          <w:b/>
        </w:rPr>
        <w:t>Ключевые слова:</w:t>
      </w:r>
      <w:r w:rsidRPr="00613041">
        <w:t xml:space="preserve"> банк, кредитные риски, кредитный портфель, </w:t>
      </w:r>
      <w:r w:rsidR="00E75816" w:rsidRPr="00613041">
        <w:t>управление кредитным риском.</w:t>
      </w:r>
    </w:p>
    <w:p w14:paraId="025DA0D5" w14:textId="77777777" w:rsidR="00613041" w:rsidRPr="00613041" w:rsidRDefault="00DA1B15" w:rsidP="00613041">
      <w:pPr>
        <w:spacing w:after="0" w:line="240" w:lineRule="auto"/>
        <w:ind w:firstLine="567"/>
        <w:jc w:val="both"/>
        <w:rPr>
          <w:lang w:val="en-US"/>
        </w:rPr>
      </w:pPr>
      <w:r w:rsidRPr="00613041">
        <w:rPr>
          <w:b/>
          <w:lang w:val="en-US"/>
        </w:rPr>
        <w:t>Annotation</w:t>
      </w:r>
      <w:r w:rsidR="00613041" w:rsidRPr="00613041">
        <w:rPr>
          <w:b/>
          <w:lang w:val="en-US"/>
        </w:rPr>
        <w:t>:</w:t>
      </w:r>
      <w:r w:rsidRPr="00613041">
        <w:rPr>
          <w:lang w:val="en-US"/>
        </w:rPr>
        <w:t xml:space="preserve"> </w:t>
      </w:r>
      <w:r w:rsidR="00613041" w:rsidRPr="00613041">
        <w:rPr>
          <w:lang w:val="en-US"/>
        </w:rPr>
        <w:t>This article is devoted to the credit risk management of a commercial bank. The main theoretical approaches to risk management have been studied. The statistical data of the public financial statements of Sberbank PJSC were analyzed in detail. The structure and dynamics of overdue loans, provisions for possible losses on loans, groups of loans by quality category are revealed. Having identified the factors affecting the credit risk of Sberbank, the authors propose possible methods for managing credit risks and ways to reduce them.</w:t>
      </w:r>
    </w:p>
    <w:p w14:paraId="5CEFABD2" w14:textId="77777777" w:rsidR="00DA1B15" w:rsidRPr="00613041" w:rsidRDefault="00DA1B15" w:rsidP="00613041">
      <w:pPr>
        <w:spacing w:after="0" w:line="240" w:lineRule="auto"/>
        <w:ind w:firstLine="567"/>
        <w:jc w:val="both"/>
      </w:pPr>
      <w:r w:rsidRPr="00613041">
        <w:rPr>
          <w:b/>
          <w:lang w:val="en-US"/>
        </w:rPr>
        <w:t>Keywords:</w:t>
      </w:r>
      <w:r w:rsidRPr="00613041">
        <w:rPr>
          <w:lang w:val="en-US"/>
        </w:rPr>
        <w:t xml:space="preserve"> </w:t>
      </w:r>
      <w:r w:rsidR="00613041" w:rsidRPr="00613041">
        <w:rPr>
          <w:lang w:val="en-US"/>
        </w:rPr>
        <w:t>bank, credit risks, loan portfolio, credit risk management.</w:t>
      </w:r>
    </w:p>
    <w:p w14:paraId="719F8A14" w14:textId="77777777" w:rsidR="00DA1B15" w:rsidRDefault="00DA1B15" w:rsidP="00DA1B15">
      <w:pPr>
        <w:spacing w:after="0" w:line="240" w:lineRule="auto"/>
        <w:ind w:firstLine="567"/>
        <w:contextualSpacing/>
        <w:jc w:val="both"/>
        <w:rPr>
          <w:b/>
          <w:lang w:val="en-US"/>
        </w:rPr>
      </w:pPr>
    </w:p>
    <w:p w14:paraId="10811C9A" w14:textId="77777777" w:rsidR="00DA1B15" w:rsidRDefault="00DA1B15" w:rsidP="00DA1B15">
      <w:pPr>
        <w:spacing w:after="0" w:line="240" w:lineRule="auto"/>
        <w:ind w:firstLine="567"/>
        <w:contextualSpacing/>
        <w:jc w:val="both"/>
        <w:rPr>
          <w:b/>
        </w:rPr>
      </w:pPr>
      <w:r>
        <w:rPr>
          <w:b/>
        </w:rPr>
        <w:t>Введение</w:t>
      </w:r>
    </w:p>
    <w:p w14:paraId="4432F2D2" w14:textId="77777777" w:rsidR="00DA1B15" w:rsidRPr="00C50368" w:rsidRDefault="00DA1B15" w:rsidP="00DA1B15">
      <w:pPr>
        <w:spacing w:after="0" w:line="240" w:lineRule="auto"/>
        <w:ind w:firstLine="567"/>
        <w:contextualSpacing/>
        <w:jc w:val="both"/>
      </w:pPr>
      <w:r>
        <w:t xml:space="preserve">Кредитный риск существенно влияет на деятельность </w:t>
      </w:r>
      <w:r w:rsidR="00E75816">
        <w:t xml:space="preserve">кредитной </w:t>
      </w:r>
      <w:r>
        <w:t xml:space="preserve">организации, поэтому в своей финансово-хозяйственной деятельности </w:t>
      </w:r>
      <w:r w:rsidRPr="00C50368">
        <w:t xml:space="preserve">организация должна не только принимать решения с учётом кредитного риска, но и предусматривать меры по его снижению. </w:t>
      </w:r>
      <w:r w:rsidR="00340FE0" w:rsidRPr="00C50368">
        <w:t xml:space="preserve">Чтобы разработать </w:t>
      </w:r>
      <w:r w:rsidR="00340FE0" w:rsidRPr="00C50368">
        <w:lastRenderedPageBreak/>
        <w:t>меры по управлению кредитным риском необходимо провести анализ кредитного портфеля  банка. Грамотное управление кредитным портфелем</w:t>
      </w:r>
      <w:r w:rsidR="00E75816" w:rsidRPr="00C50368">
        <w:t xml:space="preserve"> поможет повысить качество ссуд, снизить резервы на возможные потери, а соответственно и расходы банка.</w:t>
      </w:r>
    </w:p>
    <w:p w14:paraId="719A48F0" w14:textId="77777777" w:rsidR="00E75816" w:rsidRPr="00C50368" w:rsidRDefault="00E75816" w:rsidP="00DA1B15">
      <w:pPr>
        <w:spacing w:after="0" w:line="240" w:lineRule="auto"/>
        <w:ind w:firstLine="567"/>
        <w:contextualSpacing/>
        <w:jc w:val="both"/>
        <w:rPr>
          <w:b/>
          <w:color w:val="000000" w:themeColor="text1"/>
        </w:rPr>
      </w:pPr>
      <w:r w:rsidRPr="00C50368">
        <w:rPr>
          <w:b/>
          <w:color w:val="000000" w:themeColor="text1"/>
        </w:rPr>
        <w:t>Методология исследования</w:t>
      </w:r>
    </w:p>
    <w:p w14:paraId="46ED198C" w14:textId="77777777" w:rsidR="00E75816" w:rsidRPr="00C50368" w:rsidRDefault="00E75816" w:rsidP="00DA1B15">
      <w:pPr>
        <w:spacing w:after="0" w:line="240" w:lineRule="auto"/>
        <w:ind w:firstLine="567"/>
        <w:contextualSpacing/>
        <w:jc w:val="both"/>
        <w:rPr>
          <w:color w:val="161616"/>
          <w:shd w:val="clear" w:color="auto" w:fill="FFFFFF"/>
        </w:rPr>
      </w:pPr>
      <w:r w:rsidRPr="00C50368">
        <w:rPr>
          <w:color w:val="161616"/>
          <w:shd w:val="clear" w:color="auto" w:fill="FFFFFF"/>
        </w:rPr>
        <w:t>В процессе нашего исследования мы использовали такие методы, как анализ, синтез, классификация информации, библиографический анализ. Специальными методами выступили: вертикальный и горизонтальный анализ публичной отчетности ПАО «Сбербанк».</w:t>
      </w:r>
    </w:p>
    <w:p w14:paraId="10F9DB2A" w14:textId="77777777" w:rsidR="00DA1B15" w:rsidRPr="00C50368" w:rsidRDefault="00E75816" w:rsidP="00DA1B15">
      <w:pPr>
        <w:spacing w:after="0" w:line="240" w:lineRule="auto"/>
        <w:ind w:firstLine="567"/>
        <w:contextualSpacing/>
        <w:jc w:val="both"/>
        <w:rPr>
          <w:b/>
        </w:rPr>
      </w:pPr>
      <w:r w:rsidRPr="00C50368">
        <w:rPr>
          <w:b/>
        </w:rPr>
        <w:t>Результаты исследования</w:t>
      </w:r>
    </w:p>
    <w:p w14:paraId="5C59A2C9" w14:textId="77777777" w:rsidR="00105CAB" w:rsidRPr="00C50368" w:rsidRDefault="00E22488" w:rsidP="00DA1B15">
      <w:pPr>
        <w:spacing w:after="0" w:line="240" w:lineRule="auto"/>
        <w:ind w:firstLine="567"/>
        <w:contextualSpacing/>
        <w:jc w:val="both"/>
      </w:pPr>
      <w:r w:rsidRPr="00C50368">
        <w:t>Кредитный риск</w:t>
      </w:r>
      <w:r w:rsidR="00E75816" w:rsidRPr="00C50368">
        <w:t xml:space="preserve"> – </w:t>
      </w:r>
      <w:r w:rsidR="00105CAB" w:rsidRPr="00C50368">
        <w:t>возможность</w:t>
      </w:r>
      <w:r w:rsidR="00E75816" w:rsidRPr="00C50368">
        <w:t xml:space="preserve"> </w:t>
      </w:r>
      <w:r w:rsidR="00105CAB" w:rsidRPr="00C50368">
        <w:t>потерь банком финансового актива в результате неспособности заемщиков исполнять свои обязательства по выплате процентов и основной суммы долга в соответствии с условиями договора.</w:t>
      </w:r>
      <w:r w:rsidR="006174C5" w:rsidRPr="00C50368">
        <w:t xml:space="preserve"> [2]</w:t>
      </w:r>
    </w:p>
    <w:p w14:paraId="75C6F2A0" w14:textId="77777777" w:rsidR="00613041" w:rsidRDefault="00105CAB" w:rsidP="00613041">
      <w:pPr>
        <w:spacing w:after="0" w:line="240" w:lineRule="auto"/>
        <w:ind w:firstLine="567"/>
        <w:contextualSpacing/>
        <w:jc w:val="both"/>
      </w:pPr>
      <w:r>
        <w:t>Процесс управления кредитным риском будет иметь характерные детали, связанны</w:t>
      </w:r>
      <w:r w:rsidR="00A80B0D">
        <w:t xml:space="preserve">е с особенностью данного банка: </w:t>
      </w:r>
      <w:r>
        <w:t>его организационной структурой, специализацией, величиной и т.д. Но суть этого процесса всегда остается неизменной:</w:t>
      </w:r>
    </w:p>
    <w:p w14:paraId="6C56DCC2" w14:textId="77777777" w:rsidR="002539C9" w:rsidRPr="00105CAB" w:rsidRDefault="00105CAB" w:rsidP="00613041">
      <w:pPr>
        <w:spacing w:after="0" w:line="240" w:lineRule="auto"/>
        <w:ind w:firstLine="567"/>
        <w:contextualSpacing/>
        <w:jc w:val="both"/>
      </w:pPr>
      <w:r>
        <w:t>1)</w:t>
      </w:r>
      <w:r w:rsidR="002539C9" w:rsidRPr="002539C9">
        <w:t xml:space="preserve"> </w:t>
      </w:r>
      <w:r>
        <w:t>идентификация риска;</w:t>
      </w:r>
    </w:p>
    <w:p w14:paraId="5B5FE966" w14:textId="77777777" w:rsidR="002539C9" w:rsidRDefault="00105CAB" w:rsidP="00DA1B15">
      <w:pPr>
        <w:spacing w:after="0" w:line="240" w:lineRule="auto"/>
        <w:ind w:firstLine="567"/>
        <w:contextualSpacing/>
        <w:jc w:val="both"/>
      </w:pPr>
      <w:r>
        <w:t>2) качественная оценка риска (оценка кредитоспособности заемщика)</w:t>
      </w:r>
      <w:r w:rsidR="002539C9" w:rsidRPr="002539C9">
        <w:t xml:space="preserve">; </w:t>
      </w:r>
    </w:p>
    <w:p w14:paraId="0989CFB1" w14:textId="77777777" w:rsidR="002539C9" w:rsidRPr="00105CAB" w:rsidRDefault="00105CAB" w:rsidP="00DA1B15">
      <w:pPr>
        <w:spacing w:after="0" w:line="240" w:lineRule="auto"/>
        <w:ind w:firstLine="567"/>
        <w:contextualSpacing/>
        <w:jc w:val="both"/>
      </w:pPr>
      <w:r>
        <w:t>3) вероятна оценка риска (определение вероятного дефолта)</w:t>
      </w:r>
      <w:r w:rsidRPr="00105CAB">
        <w:t>;</w:t>
      </w:r>
    </w:p>
    <w:p w14:paraId="06F1606B" w14:textId="77777777" w:rsidR="00105CAB" w:rsidRPr="00105CAB" w:rsidRDefault="00105CAB" w:rsidP="00DA1B15">
      <w:pPr>
        <w:spacing w:after="0" w:line="240" w:lineRule="auto"/>
        <w:ind w:firstLine="567"/>
        <w:contextualSpacing/>
        <w:jc w:val="both"/>
      </w:pPr>
      <w:r w:rsidRPr="00105CAB">
        <w:t>4)</w:t>
      </w:r>
      <w:r>
        <w:t xml:space="preserve"> количественная оценка риска (</w:t>
      </w:r>
      <w:r w:rsidRPr="00DA1B15">
        <w:t>VaR</w:t>
      </w:r>
      <w:r w:rsidRPr="00105CAB">
        <w:t>-</w:t>
      </w:r>
      <w:r>
        <w:t>анализ кредитного портфеля)</w:t>
      </w:r>
      <w:r w:rsidRPr="00105CAB">
        <w:t>;</w:t>
      </w:r>
    </w:p>
    <w:p w14:paraId="750C954D" w14:textId="77777777" w:rsidR="00105CAB" w:rsidRDefault="00105CAB" w:rsidP="00DA1B15">
      <w:pPr>
        <w:spacing w:after="0" w:line="240" w:lineRule="auto"/>
        <w:ind w:firstLine="567"/>
        <w:contextualSpacing/>
        <w:jc w:val="both"/>
      </w:pPr>
      <w:r w:rsidRPr="00105CAB">
        <w:t>5)</w:t>
      </w:r>
      <w:r>
        <w:t xml:space="preserve"> применение способов воздействия на риск:</w:t>
      </w:r>
    </w:p>
    <w:p w14:paraId="7EC8A028" w14:textId="77777777" w:rsidR="00105CAB" w:rsidRDefault="00105CAB" w:rsidP="00DA1B15">
      <w:pPr>
        <w:spacing w:after="0" w:line="240" w:lineRule="auto"/>
        <w:ind w:firstLine="567"/>
        <w:contextualSpacing/>
        <w:jc w:val="both"/>
      </w:pPr>
      <w:r w:rsidRPr="00E22488">
        <w:t xml:space="preserve">- </w:t>
      </w:r>
      <w:r>
        <w:t>передача риска третьему лицу</w:t>
      </w:r>
      <w:r w:rsidR="00E22488">
        <w:t xml:space="preserve">: страхование, хеджирование, </w:t>
      </w:r>
      <w:r w:rsidR="00C359EA">
        <w:t>обеспечение</w:t>
      </w:r>
      <w:r w:rsidR="00E22488">
        <w:t xml:space="preserve"> </w:t>
      </w:r>
      <w:r w:rsidR="00C359EA">
        <w:t>(</w:t>
      </w:r>
      <w:r w:rsidR="00E22488">
        <w:t>гарантия, поручительство, залог)</w:t>
      </w:r>
    </w:p>
    <w:p w14:paraId="71B52207" w14:textId="77777777" w:rsidR="00E22488" w:rsidRDefault="00E22488" w:rsidP="00DA1B15">
      <w:pPr>
        <w:spacing w:after="0" w:line="240" w:lineRule="auto"/>
        <w:ind w:firstLine="567"/>
        <w:contextualSpacing/>
        <w:jc w:val="both"/>
      </w:pPr>
      <w:r w:rsidRPr="00E22488">
        <w:t xml:space="preserve">- </w:t>
      </w:r>
      <w:r>
        <w:t>оставление риска на собственном удержании: резервирование, лимитирование, диверсификация</w:t>
      </w:r>
      <w:r w:rsidRPr="00E22488">
        <w:t>;</w:t>
      </w:r>
    </w:p>
    <w:p w14:paraId="4CE75E5A" w14:textId="77777777" w:rsidR="00E22488" w:rsidRPr="00E22488" w:rsidRDefault="00E22488" w:rsidP="00DA1B15">
      <w:pPr>
        <w:spacing w:after="0" w:line="240" w:lineRule="auto"/>
        <w:ind w:firstLine="567"/>
        <w:contextualSpacing/>
        <w:jc w:val="both"/>
      </w:pPr>
      <w:r w:rsidRPr="00E22488">
        <w:t xml:space="preserve">6) </w:t>
      </w:r>
      <w:r>
        <w:t>мониторинг рисков</w:t>
      </w:r>
      <w:r w:rsidR="00613041">
        <w:t>.[1]</w:t>
      </w:r>
    </w:p>
    <w:p w14:paraId="631B8D9E" w14:textId="77777777" w:rsidR="00F513F5" w:rsidRDefault="00F513F5" w:rsidP="00DA1B15">
      <w:pPr>
        <w:spacing w:after="0" w:line="240" w:lineRule="auto"/>
        <w:ind w:firstLine="567"/>
        <w:contextualSpacing/>
        <w:jc w:val="both"/>
      </w:pPr>
      <w:r>
        <w:t>Кредитный риск зависит от множества факторов</w:t>
      </w:r>
      <w:r w:rsidR="00E75816">
        <w:t xml:space="preserve"> (</w:t>
      </w:r>
      <w:r w:rsidR="00D55A40">
        <w:t>таблица</w:t>
      </w:r>
      <w:r w:rsidR="00E75816">
        <w:t>1)</w:t>
      </w:r>
      <w:r>
        <w:t>, что значительно осложняет его оценку и прогнозирование.</w:t>
      </w:r>
      <w:r w:rsidR="00A44989">
        <w:t xml:space="preserve"> Факторы кредитного риска могут носить внешний или внутренний характер по отношению к банку.</w:t>
      </w:r>
      <w:r w:rsidR="00BC7A9D">
        <w:t xml:space="preserve"> </w:t>
      </w:r>
      <w:r w:rsidR="00A44989">
        <w:t>Внешние факторы представляют собой некоторые причины возникновения или реализации кредитного риска, не связанные с деятельностью банка или действиями его сотрудников. Внутренние факторы, наоборот, вызваны различными ошибками в деятельности банка, выдающего кредит.</w:t>
      </w:r>
      <w:r w:rsidR="006174C5">
        <w:t xml:space="preserve"> [8]</w:t>
      </w:r>
    </w:p>
    <w:bookmarkEnd w:id="0"/>
    <w:p w14:paraId="3314C7F5" w14:textId="77777777" w:rsidR="00BC7A9D" w:rsidRDefault="00BC7A9D" w:rsidP="00D55A40">
      <w:pPr>
        <w:spacing w:after="0" w:line="240" w:lineRule="auto"/>
        <w:ind w:firstLine="567"/>
        <w:contextualSpacing/>
        <w:jc w:val="both"/>
      </w:pPr>
      <w:r>
        <w:t xml:space="preserve">Внешние факторы кредитного риска зависят от факторов внешней среды и не поддаются контролю со стороны сотрудников кредитной организации. Например, не смотря отсутствие ошибок в оценке кредитного риска и добросовестную работу сотрудников банка, заемщик не возвращает кредит или нарушает условия договора. Внутренние факторы кредитного риска обычно являются следствием человеческого фактора в осуществлении банковских операций. Такие факторы связаны с ошибками </w:t>
      </w:r>
      <w:r>
        <w:lastRenderedPageBreak/>
        <w:t>персонала банка, нарушениями должностных инструкций или ошибками в процедуре оценки кредитных рисков, принятой в банке.</w:t>
      </w:r>
      <w:r w:rsidR="006174C5">
        <w:t xml:space="preserve"> [3]</w:t>
      </w:r>
    </w:p>
    <w:p w14:paraId="3F47C883" w14:textId="77777777" w:rsidR="00D55A40" w:rsidRDefault="00D55A40" w:rsidP="00D55A40">
      <w:pPr>
        <w:tabs>
          <w:tab w:val="left" w:pos="6720"/>
        </w:tabs>
        <w:spacing w:after="0" w:line="240" w:lineRule="auto"/>
        <w:ind w:firstLine="709"/>
        <w:jc w:val="both"/>
      </w:pPr>
      <w:r>
        <w:t>Таблица 1 - Факторы кредитного риска [4]</w:t>
      </w:r>
    </w:p>
    <w:tbl>
      <w:tblPr>
        <w:tblStyle w:val="a7"/>
        <w:tblpPr w:leftFromText="180" w:rightFromText="180" w:vertAnchor="text" w:horzAnchor="margin" w:tblpXSpec="center" w:tblpY="3"/>
        <w:tblW w:w="0" w:type="auto"/>
        <w:tblLook w:val="04A0" w:firstRow="1" w:lastRow="0" w:firstColumn="1" w:lastColumn="0" w:noHBand="0" w:noVBand="1"/>
      </w:tblPr>
      <w:tblGrid>
        <w:gridCol w:w="4392"/>
        <w:gridCol w:w="4644"/>
      </w:tblGrid>
      <w:tr w:rsidR="00D55A40" w14:paraId="36747282" w14:textId="77777777" w:rsidTr="00D55A40">
        <w:tc>
          <w:tcPr>
            <w:tcW w:w="4392" w:type="dxa"/>
          </w:tcPr>
          <w:p w14:paraId="3FE42082" w14:textId="77777777" w:rsidR="00D55A40" w:rsidRPr="00D55A40" w:rsidRDefault="00D55A40" w:rsidP="00D55A40">
            <w:pPr>
              <w:tabs>
                <w:tab w:val="left" w:pos="6720"/>
              </w:tabs>
              <w:jc w:val="center"/>
            </w:pPr>
            <w:r w:rsidRPr="00D55A40">
              <w:t>Внешние</w:t>
            </w:r>
          </w:p>
        </w:tc>
        <w:tc>
          <w:tcPr>
            <w:tcW w:w="4644" w:type="dxa"/>
          </w:tcPr>
          <w:p w14:paraId="2DBFE9AE" w14:textId="77777777" w:rsidR="00D55A40" w:rsidRPr="00D55A40" w:rsidRDefault="00D55A40" w:rsidP="00D55A40">
            <w:pPr>
              <w:tabs>
                <w:tab w:val="left" w:pos="6720"/>
              </w:tabs>
              <w:jc w:val="center"/>
            </w:pPr>
            <w:r w:rsidRPr="00D55A40">
              <w:t>Внутренние</w:t>
            </w:r>
          </w:p>
        </w:tc>
      </w:tr>
      <w:tr w:rsidR="00D55A40" w14:paraId="08C5587E" w14:textId="77777777" w:rsidTr="00D55A40">
        <w:tc>
          <w:tcPr>
            <w:tcW w:w="4392" w:type="dxa"/>
          </w:tcPr>
          <w:p w14:paraId="2C59A4D8" w14:textId="77777777" w:rsidR="00D55A40" w:rsidRPr="00D55A40" w:rsidRDefault="00D55A40" w:rsidP="00D55A40">
            <w:pPr>
              <w:tabs>
                <w:tab w:val="left" w:pos="6720"/>
              </w:tabs>
              <w:jc w:val="both"/>
            </w:pPr>
            <w:r w:rsidRPr="00D55A40">
              <w:t>Общее состояние экономики страны и региона</w:t>
            </w:r>
          </w:p>
        </w:tc>
        <w:tc>
          <w:tcPr>
            <w:tcW w:w="4644" w:type="dxa"/>
          </w:tcPr>
          <w:p w14:paraId="0615AE1E" w14:textId="77777777" w:rsidR="00D55A40" w:rsidRPr="00D55A40" w:rsidRDefault="00D55A40" w:rsidP="00D55A40">
            <w:pPr>
              <w:tabs>
                <w:tab w:val="left" w:pos="6720"/>
              </w:tabs>
              <w:jc w:val="both"/>
            </w:pPr>
            <w:r w:rsidRPr="00D55A40">
              <w:t>Качество кредитного портфеля</w:t>
            </w:r>
          </w:p>
        </w:tc>
      </w:tr>
      <w:tr w:rsidR="00D55A40" w14:paraId="0780DA7E" w14:textId="77777777" w:rsidTr="00D55A40">
        <w:trPr>
          <w:trHeight w:val="291"/>
        </w:trPr>
        <w:tc>
          <w:tcPr>
            <w:tcW w:w="4392" w:type="dxa"/>
          </w:tcPr>
          <w:p w14:paraId="15E097F8" w14:textId="77777777" w:rsidR="00D55A40" w:rsidRPr="00D55A40" w:rsidRDefault="00D55A40" w:rsidP="00D55A40">
            <w:pPr>
              <w:tabs>
                <w:tab w:val="left" w:pos="6720"/>
              </w:tabs>
              <w:jc w:val="both"/>
            </w:pPr>
            <w:r w:rsidRPr="00D55A40">
              <w:t>Уровень инфляции</w:t>
            </w:r>
          </w:p>
        </w:tc>
        <w:tc>
          <w:tcPr>
            <w:tcW w:w="4644" w:type="dxa"/>
          </w:tcPr>
          <w:p w14:paraId="6432AF6D" w14:textId="77777777" w:rsidR="00D55A40" w:rsidRPr="00D55A40" w:rsidRDefault="00D55A40" w:rsidP="00D55A40">
            <w:pPr>
              <w:tabs>
                <w:tab w:val="left" w:pos="6720"/>
              </w:tabs>
              <w:jc w:val="both"/>
            </w:pPr>
            <w:r w:rsidRPr="00D55A40">
              <w:t>Степень, средства и методы управления кредитным риском</w:t>
            </w:r>
          </w:p>
        </w:tc>
      </w:tr>
      <w:tr w:rsidR="00D55A40" w14:paraId="38991907" w14:textId="77777777" w:rsidTr="00D55A40">
        <w:tc>
          <w:tcPr>
            <w:tcW w:w="4392" w:type="dxa"/>
          </w:tcPr>
          <w:p w14:paraId="754ACAD8" w14:textId="77777777" w:rsidR="00D55A40" w:rsidRPr="00D55A40" w:rsidRDefault="00D55A40" w:rsidP="00D55A40">
            <w:pPr>
              <w:tabs>
                <w:tab w:val="left" w:pos="6720"/>
              </w:tabs>
              <w:jc w:val="both"/>
            </w:pPr>
            <w:r w:rsidRPr="00D55A40">
              <w:t>Темп роста валового продукта</w:t>
            </w:r>
          </w:p>
        </w:tc>
        <w:tc>
          <w:tcPr>
            <w:tcW w:w="4644" w:type="dxa"/>
          </w:tcPr>
          <w:p w14:paraId="5154ADB7" w14:textId="77777777" w:rsidR="00D55A40" w:rsidRPr="00D55A40" w:rsidRDefault="00D55A40" w:rsidP="00D55A40">
            <w:pPr>
              <w:tabs>
                <w:tab w:val="left" w:pos="6720"/>
              </w:tabs>
              <w:jc w:val="both"/>
            </w:pPr>
            <w:r w:rsidRPr="00D55A40">
              <w:t>Ценовая политика банка</w:t>
            </w:r>
          </w:p>
        </w:tc>
      </w:tr>
      <w:tr w:rsidR="00D55A40" w14:paraId="252E972C" w14:textId="77777777" w:rsidTr="00D55A40">
        <w:tc>
          <w:tcPr>
            <w:tcW w:w="4392" w:type="dxa"/>
          </w:tcPr>
          <w:p w14:paraId="6461E953" w14:textId="77777777" w:rsidR="00D55A40" w:rsidRPr="00D55A40" w:rsidRDefault="00D55A40" w:rsidP="00D55A40">
            <w:pPr>
              <w:tabs>
                <w:tab w:val="left" w:pos="6720"/>
              </w:tabs>
              <w:jc w:val="both"/>
            </w:pPr>
            <w:r w:rsidRPr="00D55A40">
              <w:t>Денежно-кредитная политика Центрального Банка РФ</w:t>
            </w:r>
            <w:r>
              <w:t xml:space="preserve"> </w:t>
            </w:r>
            <w:r w:rsidRPr="00D55A40">
              <w:t>(изменение учетной процентной ставки)</w:t>
            </w:r>
          </w:p>
        </w:tc>
        <w:tc>
          <w:tcPr>
            <w:tcW w:w="4644" w:type="dxa"/>
          </w:tcPr>
          <w:p w14:paraId="1B40EF72" w14:textId="77777777" w:rsidR="00D55A40" w:rsidRPr="00D55A40" w:rsidRDefault="00D55A40" w:rsidP="00D55A40">
            <w:pPr>
              <w:tabs>
                <w:tab w:val="left" w:pos="6720"/>
              </w:tabs>
              <w:jc w:val="both"/>
            </w:pPr>
            <w:r w:rsidRPr="00D55A40">
              <w:t>Уровень кредитного потенциала банка, который определяется общей суммой и структурой обязательств банка</w:t>
            </w:r>
          </w:p>
        </w:tc>
      </w:tr>
      <w:tr w:rsidR="00D55A40" w14:paraId="5704AA47" w14:textId="77777777" w:rsidTr="00D55A40">
        <w:tc>
          <w:tcPr>
            <w:tcW w:w="4392" w:type="dxa"/>
          </w:tcPr>
          <w:p w14:paraId="076A33A7" w14:textId="77777777" w:rsidR="00D55A40" w:rsidRPr="00D55A40" w:rsidRDefault="00D55A40" w:rsidP="00D55A40">
            <w:pPr>
              <w:tabs>
                <w:tab w:val="left" w:pos="6720"/>
              </w:tabs>
              <w:jc w:val="both"/>
            </w:pPr>
            <w:r w:rsidRPr="00D55A40">
              <w:t>Уровень развития конкуренции в банковской отрасли</w:t>
            </w:r>
          </w:p>
        </w:tc>
        <w:tc>
          <w:tcPr>
            <w:tcW w:w="4644" w:type="dxa"/>
          </w:tcPr>
          <w:p w14:paraId="104C37C8" w14:textId="77777777" w:rsidR="00D55A40" w:rsidRPr="00D55A40" w:rsidRDefault="00D55A40" w:rsidP="00D55A40">
            <w:pPr>
              <w:tabs>
                <w:tab w:val="left" w:pos="6720"/>
              </w:tabs>
              <w:jc w:val="both"/>
            </w:pPr>
            <w:r w:rsidRPr="00D55A40">
              <w:t>Квалификация персонала и действия сотрудников, занятых в процессе кредитования</w:t>
            </w:r>
          </w:p>
        </w:tc>
      </w:tr>
    </w:tbl>
    <w:p w14:paraId="69054F97" w14:textId="77777777" w:rsidR="002E4D49" w:rsidRDefault="00A80B0D" w:rsidP="00D55A40">
      <w:pPr>
        <w:pStyle w:val="3"/>
        <w:spacing w:before="0" w:beforeAutospacing="0" w:after="0" w:afterAutospacing="0" w:line="240" w:lineRule="auto"/>
      </w:pPr>
      <w:r>
        <w:t>Проанализируем показатели кредитного риска ПАО «Сбербанк»</w:t>
      </w:r>
      <w:r w:rsidR="002E4D49">
        <w:t>.</w:t>
      </w:r>
      <w:r>
        <w:t xml:space="preserve"> </w:t>
      </w:r>
      <w:r w:rsidRPr="00C105B0">
        <w:t>Кредитование является срочной операцией, которая к тому же в большей степени осуществляется за счет привлеченным банком средств (банковских вкладов). Т.е. анализ портфеля обязательно требует учет в разрезе сроков предоставленных кредитов.</w:t>
      </w:r>
      <w:r w:rsidR="002E4D49" w:rsidRPr="002E4D49">
        <w:t xml:space="preserve"> </w:t>
      </w:r>
      <w:r w:rsidR="002E4D49">
        <w:t>Мы проследили динамику объемов и доли просроченных кредитов в кредитном портфеле</w:t>
      </w:r>
      <w:r w:rsidR="00340FE0">
        <w:t xml:space="preserve"> (таблица </w:t>
      </w:r>
      <w:r w:rsidR="00D55A40">
        <w:t>2</w:t>
      </w:r>
      <w:r w:rsidR="002E4D49">
        <w:t xml:space="preserve">). </w:t>
      </w:r>
    </w:p>
    <w:p w14:paraId="0BCB3FFB" w14:textId="77777777" w:rsidR="00A80B0D" w:rsidRPr="00C105B0" w:rsidRDefault="00A80B0D" w:rsidP="00A80B0D">
      <w:pPr>
        <w:pStyle w:val="3"/>
        <w:spacing w:before="0" w:beforeAutospacing="0" w:after="0" w:afterAutospacing="0" w:line="240" w:lineRule="auto"/>
      </w:pPr>
      <w:r w:rsidRPr="00C105B0">
        <w:t xml:space="preserve">Таблица </w:t>
      </w:r>
      <w:proofErr w:type="gramStart"/>
      <w:r w:rsidR="00D55A40">
        <w:t>2</w:t>
      </w:r>
      <w:r w:rsidRPr="00C105B0">
        <w:t xml:space="preserve">  </w:t>
      </w:r>
      <w:r>
        <w:t>Объ</w:t>
      </w:r>
      <w:r w:rsidR="002E4D49">
        <w:t>е</w:t>
      </w:r>
      <w:r>
        <w:t>мы</w:t>
      </w:r>
      <w:proofErr w:type="gramEnd"/>
      <w:r>
        <w:t xml:space="preserve"> просроченной задолженности в к</w:t>
      </w:r>
      <w:r w:rsidRPr="00C105B0">
        <w:t>редитн</w:t>
      </w:r>
      <w:r>
        <w:t>ом</w:t>
      </w:r>
      <w:r w:rsidRPr="00C105B0">
        <w:t xml:space="preserve"> портфел</w:t>
      </w:r>
      <w:r>
        <w:t>е</w:t>
      </w:r>
      <w:r w:rsidRPr="00C105B0">
        <w:t xml:space="preserve"> 2017-2019гг. млрд.руб.</w:t>
      </w:r>
    </w:p>
    <w:tbl>
      <w:tblPr>
        <w:tblStyle w:val="a7"/>
        <w:tblW w:w="0" w:type="auto"/>
        <w:jc w:val="center"/>
        <w:tblLook w:val="04A0" w:firstRow="1" w:lastRow="0" w:firstColumn="1" w:lastColumn="0" w:noHBand="0" w:noVBand="1"/>
      </w:tblPr>
      <w:tblGrid>
        <w:gridCol w:w="2889"/>
        <w:gridCol w:w="2132"/>
        <w:gridCol w:w="2132"/>
        <w:gridCol w:w="1886"/>
      </w:tblGrid>
      <w:tr w:rsidR="00A80B0D" w:rsidRPr="00C105B0" w14:paraId="4077C00A" w14:textId="77777777" w:rsidTr="00D55A40">
        <w:trPr>
          <w:jc w:val="center"/>
        </w:trPr>
        <w:tc>
          <w:tcPr>
            <w:tcW w:w="2889" w:type="dxa"/>
          </w:tcPr>
          <w:p w14:paraId="0F6237C9" w14:textId="77777777" w:rsidR="00A80B0D" w:rsidRPr="00C105B0" w:rsidRDefault="00A80B0D" w:rsidP="00A80B0D">
            <w:pPr>
              <w:pStyle w:val="3"/>
              <w:spacing w:before="0" w:beforeAutospacing="0" w:after="0" w:afterAutospacing="0" w:line="240" w:lineRule="auto"/>
              <w:ind w:firstLine="0"/>
            </w:pPr>
            <w:r w:rsidRPr="00C105B0">
              <w:t>Срок кредитования</w:t>
            </w:r>
          </w:p>
        </w:tc>
        <w:tc>
          <w:tcPr>
            <w:tcW w:w="2132" w:type="dxa"/>
          </w:tcPr>
          <w:p w14:paraId="4602C4F4" w14:textId="77777777" w:rsidR="00A80B0D" w:rsidRPr="00C105B0" w:rsidRDefault="00A80B0D" w:rsidP="00A80B0D">
            <w:pPr>
              <w:pStyle w:val="3"/>
              <w:spacing w:before="0" w:beforeAutospacing="0" w:after="0" w:afterAutospacing="0" w:line="240" w:lineRule="auto"/>
            </w:pPr>
            <w:r w:rsidRPr="00C105B0">
              <w:t>2017</w:t>
            </w:r>
          </w:p>
        </w:tc>
        <w:tc>
          <w:tcPr>
            <w:tcW w:w="2132" w:type="dxa"/>
          </w:tcPr>
          <w:p w14:paraId="734AA18D" w14:textId="77777777" w:rsidR="00A80B0D" w:rsidRPr="00C105B0" w:rsidRDefault="00A80B0D" w:rsidP="00A80B0D">
            <w:pPr>
              <w:pStyle w:val="3"/>
              <w:spacing w:before="0" w:beforeAutospacing="0" w:after="0" w:afterAutospacing="0" w:line="240" w:lineRule="auto"/>
            </w:pPr>
            <w:r w:rsidRPr="00C105B0">
              <w:t>2018</w:t>
            </w:r>
          </w:p>
        </w:tc>
        <w:tc>
          <w:tcPr>
            <w:tcW w:w="1886" w:type="dxa"/>
          </w:tcPr>
          <w:p w14:paraId="1124810E" w14:textId="77777777" w:rsidR="00A80B0D" w:rsidRPr="00C105B0" w:rsidRDefault="00A80B0D" w:rsidP="00A80B0D">
            <w:pPr>
              <w:pStyle w:val="3"/>
              <w:spacing w:before="0" w:beforeAutospacing="0" w:after="0" w:afterAutospacing="0" w:line="240" w:lineRule="auto"/>
            </w:pPr>
            <w:r w:rsidRPr="00C105B0">
              <w:t>2019</w:t>
            </w:r>
          </w:p>
        </w:tc>
      </w:tr>
      <w:tr w:rsidR="00A80B0D" w:rsidRPr="00C105B0" w14:paraId="14601754" w14:textId="77777777" w:rsidTr="00D55A40">
        <w:trPr>
          <w:jc w:val="center"/>
        </w:trPr>
        <w:tc>
          <w:tcPr>
            <w:tcW w:w="2889" w:type="dxa"/>
          </w:tcPr>
          <w:p w14:paraId="4D0F2430" w14:textId="77777777" w:rsidR="00A80B0D" w:rsidRPr="00C105B0" w:rsidRDefault="00B0693B" w:rsidP="00B0693B">
            <w:pPr>
              <w:pStyle w:val="3"/>
              <w:spacing w:before="0" w:beforeAutospacing="0" w:after="0" w:afterAutospacing="0" w:line="240" w:lineRule="auto"/>
              <w:ind w:firstLine="0"/>
            </w:pPr>
            <w:r>
              <w:t>Объем просроченных кредитов</w:t>
            </w:r>
            <w:r w:rsidRPr="00C105B0">
              <w:t xml:space="preserve"> </w:t>
            </w:r>
            <w:r>
              <w:t>(</w:t>
            </w:r>
            <w:r w:rsidRPr="00C105B0">
              <w:t>млрд.руб.</w:t>
            </w:r>
            <w:r>
              <w:t>)</w:t>
            </w:r>
          </w:p>
        </w:tc>
        <w:tc>
          <w:tcPr>
            <w:tcW w:w="2132" w:type="dxa"/>
          </w:tcPr>
          <w:p w14:paraId="58EC1622" w14:textId="77777777" w:rsidR="00A80B0D" w:rsidRPr="00C105B0" w:rsidRDefault="00B0693B" w:rsidP="00B0693B">
            <w:pPr>
              <w:pStyle w:val="3"/>
              <w:spacing w:before="0" w:beforeAutospacing="0" w:after="0" w:afterAutospacing="0" w:line="240" w:lineRule="auto"/>
            </w:pPr>
            <w:r w:rsidRPr="00C105B0">
              <w:t>403</w:t>
            </w:r>
          </w:p>
        </w:tc>
        <w:tc>
          <w:tcPr>
            <w:tcW w:w="2132" w:type="dxa"/>
          </w:tcPr>
          <w:p w14:paraId="741A083D" w14:textId="77777777" w:rsidR="00A80B0D" w:rsidRPr="00C105B0" w:rsidRDefault="00B0693B" w:rsidP="00A80B0D">
            <w:pPr>
              <w:pStyle w:val="3"/>
              <w:spacing w:before="0" w:beforeAutospacing="0" w:after="0" w:afterAutospacing="0" w:line="240" w:lineRule="auto"/>
            </w:pPr>
            <w:r>
              <w:t>463</w:t>
            </w:r>
          </w:p>
        </w:tc>
        <w:tc>
          <w:tcPr>
            <w:tcW w:w="1886" w:type="dxa"/>
          </w:tcPr>
          <w:p w14:paraId="25BB0FF6" w14:textId="77777777" w:rsidR="00A80B0D" w:rsidRPr="00C105B0" w:rsidRDefault="00B0693B" w:rsidP="00A80B0D">
            <w:pPr>
              <w:pStyle w:val="3"/>
              <w:spacing w:before="0" w:beforeAutospacing="0" w:after="0" w:afterAutospacing="0" w:line="240" w:lineRule="auto"/>
            </w:pPr>
            <w:r>
              <w:t>462</w:t>
            </w:r>
          </w:p>
        </w:tc>
      </w:tr>
      <w:tr w:rsidR="00A80B0D" w:rsidRPr="00C105B0" w14:paraId="39BE17A6" w14:textId="77777777" w:rsidTr="00D55A40">
        <w:trPr>
          <w:jc w:val="center"/>
        </w:trPr>
        <w:tc>
          <w:tcPr>
            <w:tcW w:w="2889" w:type="dxa"/>
          </w:tcPr>
          <w:p w14:paraId="456BA584" w14:textId="77777777" w:rsidR="00A80B0D" w:rsidRPr="00C105B0" w:rsidRDefault="00B0693B" w:rsidP="00A80B0D">
            <w:pPr>
              <w:pStyle w:val="3"/>
              <w:spacing w:before="0" w:beforeAutospacing="0" w:after="0" w:afterAutospacing="0" w:line="240" w:lineRule="auto"/>
              <w:ind w:firstLine="0"/>
            </w:pPr>
            <w:r>
              <w:t>Доля в кредитном портфеле (%)</w:t>
            </w:r>
          </w:p>
        </w:tc>
        <w:tc>
          <w:tcPr>
            <w:tcW w:w="2132" w:type="dxa"/>
          </w:tcPr>
          <w:p w14:paraId="4DB9950A" w14:textId="77777777" w:rsidR="00A80B0D" w:rsidRPr="00C105B0" w:rsidRDefault="00B0693B" w:rsidP="00A80B0D">
            <w:pPr>
              <w:pStyle w:val="3"/>
              <w:spacing w:before="0" w:beforeAutospacing="0" w:after="0" w:afterAutospacing="0" w:line="240" w:lineRule="auto"/>
            </w:pPr>
            <w:r>
              <w:t>2,41</w:t>
            </w:r>
          </w:p>
        </w:tc>
        <w:tc>
          <w:tcPr>
            <w:tcW w:w="2132" w:type="dxa"/>
          </w:tcPr>
          <w:p w14:paraId="63978389" w14:textId="77777777" w:rsidR="00A80B0D" w:rsidRPr="00C105B0" w:rsidRDefault="00B0693B" w:rsidP="00A80B0D">
            <w:pPr>
              <w:pStyle w:val="3"/>
              <w:spacing w:before="0" w:beforeAutospacing="0" w:after="0" w:afterAutospacing="0" w:line="240" w:lineRule="auto"/>
            </w:pPr>
            <w:r>
              <w:t>2,57</w:t>
            </w:r>
          </w:p>
        </w:tc>
        <w:tc>
          <w:tcPr>
            <w:tcW w:w="1886" w:type="dxa"/>
          </w:tcPr>
          <w:p w14:paraId="469E15FB" w14:textId="77777777" w:rsidR="00A80B0D" w:rsidRPr="00C105B0" w:rsidRDefault="00B0693B" w:rsidP="00A80B0D">
            <w:pPr>
              <w:pStyle w:val="3"/>
              <w:spacing w:before="0" w:beforeAutospacing="0" w:after="0" w:afterAutospacing="0" w:line="240" w:lineRule="auto"/>
            </w:pPr>
            <w:r>
              <w:t>2,25</w:t>
            </w:r>
          </w:p>
        </w:tc>
      </w:tr>
    </w:tbl>
    <w:p w14:paraId="4C9E107F" w14:textId="77777777" w:rsidR="002E4D49" w:rsidRDefault="00A80B0D" w:rsidP="002E4D49">
      <w:pPr>
        <w:pStyle w:val="3"/>
        <w:spacing w:before="0" w:beforeAutospacing="0" w:after="0" w:afterAutospacing="0" w:line="240" w:lineRule="auto"/>
        <w:rPr>
          <w:bCs/>
        </w:rPr>
      </w:pPr>
      <w:r w:rsidRPr="00C105B0">
        <w:t xml:space="preserve">На основании данных таблицы </w:t>
      </w:r>
      <w:r w:rsidR="00D55A40">
        <w:t>2</w:t>
      </w:r>
      <w:r w:rsidR="002E4D49">
        <w:t>,</w:t>
      </w:r>
      <w:r w:rsidRPr="00C105B0">
        <w:t xml:space="preserve"> мы видим,</w:t>
      </w:r>
      <w:r w:rsidR="00B0693B">
        <w:t xml:space="preserve"> что</w:t>
      </w:r>
      <w:r w:rsidRPr="00C105B0">
        <w:t xml:space="preserve"> удельный вес просроченной задолженности в совокупной массе кредитов, то мы получим, что по итогам 2016 года доля просроченной задолженности составляла 2,41%, в 2017 году – 2,57%, а к началу 2019 года – 2,25%., т.е. уровень просроченной задолженности невелик, а также просматривается некоторая тенденция к его снижению.</w:t>
      </w:r>
      <w:r w:rsidR="002E4D49" w:rsidRPr="002E4D49">
        <w:rPr>
          <w:bCs/>
        </w:rPr>
        <w:t xml:space="preserve"> </w:t>
      </w:r>
      <w:r w:rsidR="002E4D49">
        <w:rPr>
          <w:bCs/>
        </w:rPr>
        <w:t xml:space="preserve">Рост доли в 2018 году был </w:t>
      </w:r>
      <w:r w:rsidR="002E4D49" w:rsidRPr="00C105B0">
        <w:rPr>
          <w:bCs/>
        </w:rPr>
        <w:t>преимущественно за счёт роста просроченной задолженности в корпоративном сегменте. В 2019 году этот показатель изменился в положительную сторону на 0,3</w:t>
      </w:r>
      <w:r w:rsidR="002E4D49">
        <w:rPr>
          <w:bCs/>
        </w:rPr>
        <w:t>3</w:t>
      </w:r>
      <w:r w:rsidR="002E4D49" w:rsidRPr="00C105B0">
        <w:rPr>
          <w:bCs/>
        </w:rPr>
        <w:t>%, что говорит о том, заёмщики стали лучше выполнять свои обязательства.</w:t>
      </w:r>
    </w:p>
    <w:p w14:paraId="66EBC621" w14:textId="77777777" w:rsidR="00A80B0D" w:rsidRPr="00C105B0" w:rsidRDefault="00B0693B" w:rsidP="00A80B0D">
      <w:pPr>
        <w:pStyle w:val="3"/>
        <w:spacing w:before="0" w:beforeAutospacing="0" w:after="0" w:afterAutospacing="0" w:line="240" w:lineRule="auto"/>
      </w:pPr>
      <w:r>
        <w:t xml:space="preserve">Проанализируем структуру кредитного портфеля </w:t>
      </w:r>
      <w:r w:rsidR="00A80B0D" w:rsidRPr="00C105B0">
        <w:t>в разрезе категорий качества ссуд</w:t>
      </w:r>
      <w:r w:rsidR="002E4D49">
        <w:t xml:space="preserve"> (таблица </w:t>
      </w:r>
      <w:r w:rsidR="00D55A40">
        <w:t>3</w:t>
      </w:r>
      <w:r w:rsidR="002E4D49">
        <w:t>)</w:t>
      </w:r>
      <w:r w:rsidR="00A80B0D" w:rsidRPr="00C105B0">
        <w:t>.</w:t>
      </w:r>
    </w:p>
    <w:p w14:paraId="7E1CD2B3" w14:textId="77777777" w:rsidR="00A80B0D" w:rsidRPr="00C105B0" w:rsidRDefault="00A80B0D" w:rsidP="00A80B0D">
      <w:pPr>
        <w:pStyle w:val="3"/>
        <w:spacing w:before="0" w:beforeAutospacing="0" w:after="0" w:afterAutospacing="0" w:line="240" w:lineRule="auto"/>
      </w:pPr>
      <w:r w:rsidRPr="00C105B0">
        <w:t xml:space="preserve">Таблица </w:t>
      </w:r>
      <w:proofErr w:type="gramStart"/>
      <w:r w:rsidR="00D55A40">
        <w:t>3</w:t>
      </w:r>
      <w:r w:rsidRPr="00C105B0">
        <w:t xml:space="preserve">  Кредитный</w:t>
      </w:r>
      <w:proofErr w:type="gramEnd"/>
      <w:r w:rsidRPr="00C105B0">
        <w:t xml:space="preserve"> портфель в разрезе категорий качества 2017-2019гг. млрд.руб.</w:t>
      </w:r>
      <w:r w:rsidR="002E4D49" w:rsidRPr="002E4D49">
        <w:t xml:space="preserve"> </w:t>
      </w:r>
      <w:r w:rsidR="002E4D49">
        <w:t>(</w:t>
      </w:r>
      <w:r w:rsidR="002E4D49" w:rsidRPr="00C105B0">
        <w:t>без учета резервов на возможные потери</w:t>
      </w:r>
      <w:r w:rsidR="002E4D49">
        <w:t>)</w:t>
      </w:r>
      <w:r w:rsidR="00613041" w:rsidRPr="00613041">
        <w:t xml:space="preserve"> </w:t>
      </w:r>
      <w:r w:rsidR="00613041">
        <w:t>[9,10]</w:t>
      </w:r>
    </w:p>
    <w:tbl>
      <w:tblPr>
        <w:tblStyle w:val="a7"/>
        <w:tblW w:w="0" w:type="auto"/>
        <w:jc w:val="center"/>
        <w:tblLook w:val="04A0" w:firstRow="1" w:lastRow="0" w:firstColumn="1" w:lastColumn="0" w:noHBand="0" w:noVBand="1"/>
      </w:tblPr>
      <w:tblGrid>
        <w:gridCol w:w="3260"/>
        <w:gridCol w:w="1725"/>
        <w:gridCol w:w="1956"/>
        <w:gridCol w:w="1847"/>
      </w:tblGrid>
      <w:tr w:rsidR="00A80B0D" w:rsidRPr="00C105B0" w14:paraId="43BB139D" w14:textId="77777777" w:rsidTr="00D55A40">
        <w:trPr>
          <w:jc w:val="center"/>
        </w:trPr>
        <w:tc>
          <w:tcPr>
            <w:tcW w:w="3260" w:type="dxa"/>
          </w:tcPr>
          <w:p w14:paraId="32CC20C1" w14:textId="77777777" w:rsidR="00A80B0D" w:rsidRPr="00C105B0" w:rsidRDefault="00A80B0D" w:rsidP="00A80B0D">
            <w:pPr>
              <w:pStyle w:val="3"/>
              <w:spacing w:before="0" w:beforeAutospacing="0" w:after="0" w:afterAutospacing="0" w:line="240" w:lineRule="auto"/>
              <w:ind w:firstLine="0"/>
            </w:pPr>
            <w:r w:rsidRPr="00C105B0">
              <w:lastRenderedPageBreak/>
              <w:t>Категории кредитов</w:t>
            </w:r>
          </w:p>
        </w:tc>
        <w:tc>
          <w:tcPr>
            <w:tcW w:w="1725" w:type="dxa"/>
          </w:tcPr>
          <w:p w14:paraId="5C114C2D" w14:textId="77777777" w:rsidR="00A80B0D" w:rsidRPr="00C105B0" w:rsidRDefault="00A80B0D" w:rsidP="00A80B0D">
            <w:pPr>
              <w:pStyle w:val="3"/>
              <w:spacing w:before="0" w:beforeAutospacing="0" w:after="0" w:afterAutospacing="0" w:line="240" w:lineRule="auto"/>
            </w:pPr>
            <w:r w:rsidRPr="00C105B0">
              <w:t>2017</w:t>
            </w:r>
          </w:p>
        </w:tc>
        <w:tc>
          <w:tcPr>
            <w:tcW w:w="1956" w:type="dxa"/>
          </w:tcPr>
          <w:p w14:paraId="1EA43FCE" w14:textId="77777777" w:rsidR="00A80B0D" w:rsidRPr="00C105B0" w:rsidRDefault="00A80B0D" w:rsidP="00A80B0D">
            <w:pPr>
              <w:pStyle w:val="3"/>
              <w:spacing w:before="0" w:beforeAutospacing="0" w:after="0" w:afterAutospacing="0" w:line="240" w:lineRule="auto"/>
            </w:pPr>
            <w:r w:rsidRPr="00C105B0">
              <w:t>2018</w:t>
            </w:r>
          </w:p>
        </w:tc>
        <w:tc>
          <w:tcPr>
            <w:tcW w:w="1847" w:type="dxa"/>
          </w:tcPr>
          <w:p w14:paraId="1E307311" w14:textId="77777777" w:rsidR="00A80B0D" w:rsidRPr="00C105B0" w:rsidRDefault="00A80B0D" w:rsidP="00A80B0D">
            <w:pPr>
              <w:pStyle w:val="3"/>
              <w:spacing w:before="0" w:beforeAutospacing="0" w:after="0" w:afterAutospacing="0" w:line="240" w:lineRule="auto"/>
            </w:pPr>
            <w:r w:rsidRPr="00C105B0">
              <w:t>2019</w:t>
            </w:r>
          </w:p>
        </w:tc>
      </w:tr>
      <w:tr w:rsidR="00A80B0D" w:rsidRPr="00C105B0" w14:paraId="208DCC35" w14:textId="77777777" w:rsidTr="00D55A40">
        <w:trPr>
          <w:jc w:val="center"/>
        </w:trPr>
        <w:tc>
          <w:tcPr>
            <w:tcW w:w="3260" w:type="dxa"/>
          </w:tcPr>
          <w:p w14:paraId="7AEC4FF7" w14:textId="77777777" w:rsidR="00A80B0D" w:rsidRPr="00C105B0" w:rsidRDefault="00A80B0D" w:rsidP="00A80B0D">
            <w:pPr>
              <w:pStyle w:val="3"/>
              <w:spacing w:before="0" w:beforeAutospacing="0" w:after="0" w:afterAutospacing="0" w:line="240" w:lineRule="auto"/>
              <w:ind w:firstLine="0"/>
            </w:pPr>
            <w:r w:rsidRPr="00C105B0">
              <w:t>Банкам</w:t>
            </w:r>
          </w:p>
        </w:tc>
        <w:tc>
          <w:tcPr>
            <w:tcW w:w="1725" w:type="dxa"/>
          </w:tcPr>
          <w:p w14:paraId="56C4A014" w14:textId="77777777" w:rsidR="00A80B0D" w:rsidRPr="00C105B0" w:rsidRDefault="00A80B0D" w:rsidP="00A80B0D">
            <w:pPr>
              <w:pStyle w:val="3"/>
              <w:spacing w:before="0" w:beforeAutospacing="0" w:after="0" w:afterAutospacing="0" w:line="240" w:lineRule="auto"/>
            </w:pPr>
            <w:r w:rsidRPr="00C105B0">
              <w:t>1 596</w:t>
            </w:r>
          </w:p>
        </w:tc>
        <w:tc>
          <w:tcPr>
            <w:tcW w:w="1956" w:type="dxa"/>
          </w:tcPr>
          <w:p w14:paraId="503E0817" w14:textId="77777777" w:rsidR="00A80B0D" w:rsidRPr="00C105B0" w:rsidRDefault="00A80B0D" w:rsidP="00A80B0D">
            <w:pPr>
              <w:pStyle w:val="3"/>
              <w:spacing w:before="0" w:beforeAutospacing="0" w:after="0" w:afterAutospacing="0" w:line="240" w:lineRule="auto"/>
            </w:pPr>
            <w:r w:rsidRPr="00C105B0">
              <w:t>1 540</w:t>
            </w:r>
          </w:p>
        </w:tc>
        <w:tc>
          <w:tcPr>
            <w:tcW w:w="1847" w:type="dxa"/>
          </w:tcPr>
          <w:p w14:paraId="76C9389D" w14:textId="77777777" w:rsidR="00A80B0D" w:rsidRPr="00C105B0" w:rsidRDefault="00A80B0D" w:rsidP="00A80B0D">
            <w:pPr>
              <w:pStyle w:val="3"/>
              <w:spacing w:before="0" w:beforeAutospacing="0" w:after="0" w:afterAutospacing="0" w:line="240" w:lineRule="auto"/>
            </w:pPr>
            <w:r w:rsidRPr="00C105B0">
              <w:t>1 636</w:t>
            </w:r>
          </w:p>
        </w:tc>
      </w:tr>
      <w:tr w:rsidR="00A80B0D" w:rsidRPr="00C105B0" w14:paraId="1A47C17C" w14:textId="77777777" w:rsidTr="00D55A40">
        <w:trPr>
          <w:jc w:val="center"/>
        </w:trPr>
        <w:tc>
          <w:tcPr>
            <w:tcW w:w="3260" w:type="dxa"/>
          </w:tcPr>
          <w:p w14:paraId="7ADFD9C1" w14:textId="77777777" w:rsidR="00A80B0D" w:rsidRPr="00C105B0" w:rsidRDefault="00A80B0D" w:rsidP="00A80B0D">
            <w:pPr>
              <w:pStyle w:val="3"/>
              <w:spacing w:before="0" w:beforeAutospacing="0" w:after="0" w:afterAutospacing="0" w:line="240" w:lineRule="auto"/>
              <w:ind w:firstLine="0"/>
            </w:pPr>
            <w:r w:rsidRPr="00C105B0">
              <w:t>1</w:t>
            </w:r>
          </w:p>
        </w:tc>
        <w:tc>
          <w:tcPr>
            <w:tcW w:w="1725" w:type="dxa"/>
          </w:tcPr>
          <w:p w14:paraId="78B1AC68" w14:textId="77777777" w:rsidR="00A80B0D" w:rsidRPr="00C105B0" w:rsidRDefault="00A80B0D" w:rsidP="00A80B0D">
            <w:pPr>
              <w:pStyle w:val="3"/>
              <w:spacing w:before="0" w:beforeAutospacing="0" w:after="0" w:afterAutospacing="0" w:line="240" w:lineRule="auto"/>
            </w:pPr>
            <w:r w:rsidRPr="00C105B0">
              <w:t>1 485</w:t>
            </w:r>
          </w:p>
        </w:tc>
        <w:tc>
          <w:tcPr>
            <w:tcW w:w="1956" w:type="dxa"/>
          </w:tcPr>
          <w:p w14:paraId="5330162E" w14:textId="77777777" w:rsidR="00A80B0D" w:rsidRPr="00C105B0" w:rsidRDefault="00A80B0D" w:rsidP="00A80B0D">
            <w:pPr>
              <w:pStyle w:val="3"/>
              <w:spacing w:before="0" w:beforeAutospacing="0" w:after="0" w:afterAutospacing="0" w:line="240" w:lineRule="auto"/>
            </w:pPr>
            <w:r w:rsidRPr="00C105B0">
              <w:t>1 461</w:t>
            </w:r>
          </w:p>
        </w:tc>
        <w:tc>
          <w:tcPr>
            <w:tcW w:w="1847" w:type="dxa"/>
          </w:tcPr>
          <w:p w14:paraId="76CFBB0C" w14:textId="77777777" w:rsidR="00A80B0D" w:rsidRPr="00C105B0" w:rsidRDefault="00A80B0D" w:rsidP="00A80B0D">
            <w:pPr>
              <w:pStyle w:val="3"/>
              <w:spacing w:before="0" w:beforeAutospacing="0" w:after="0" w:afterAutospacing="0" w:line="240" w:lineRule="auto"/>
            </w:pPr>
            <w:r w:rsidRPr="00C105B0">
              <w:t>1 570</w:t>
            </w:r>
          </w:p>
        </w:tc>
      </w:tr>
      <w:tr w:rsidR="00A80B0D" w:rsidRPr="00C105B0" w14:paraId="5032ADAA" w14:textId="77777777" w:rsidTr="00D55A40">
        <w:trPr>
          <w:jc w:val="center"/>
        </w:trPr>
        <w:tc>
          <w:tcPr>
            <w:tcW w:w="3260" w:type="dxa"/>
          </w:tcPr>
          <w:p w14:paraId="4DD66AEB" w14:textId="77777777" w:rsidR="00A80B0D" w:rsidRPr="00C105B0" w:rsidRDefault="00A80B0D" w:rsidP="00A80B0D">
            <w:pPr>
              <w:pStyle w:val="3"/>
              <w:spacing w:before="0" w:beforeAutospacing="0" w:after="0" w:afterAutospacing="0" w:line="240" w:lineRule="auto"/>
              <w:ind w:firstLine="0"/>
            </w:pPr>
            <w:r w:rsidRPr="00C105B0">
              <w:t>2</w:t>
            </w:r>
          </w:p>
        </w:tc>
        <w:tc>
          <w:tcPr>
            <w:tcW w:w="1725" w:type="dxa"/>
          </w:tcPr>
          <w:p w14:paraId="35D08E0A" w14:textId="77777777" w:rsidR="00A80B0D" w:rsidRPr="00C105B0" w:rsidRDefault="00A80B0D" w:rsidP="00A80B0D">
            <w:pPr>
              <w:pStyle w:val="3"/>
              <w:spacing w:before="0" w:beforeAutospacing="0" w:after="0" w:afterAutospacing="0" w:line="240" w:lineRule="auto"/>
            </w:pPr>
            <w:r w:rsidRPr="00C105B0">
              <w:t>32</w:t>
            </w:r>
          </w:p>
        </w:tc>
        <w:tc>
          <w:tcPr>
            <w:tcW w:w="1956" w:type="dxa"/>
          </w:tcPr>
          <w:p w14:paraId="1CE5F937" w14:textId="77777777" w:rsidR="00A80B0D" w:rsidRPr="00C105B0" w:rsidRDefault="00A80B0D" w:rsidP="00A80B0D">
            <w:pPr>
              <w:pStyle w:val="3"/>
              <w:spacing w:before="0" w:beforeAutospacing="0" w:after="0" w:afterAutospacing="0" w:line="240" w:lineRule="auto"/>
            </w:pPr>
            <w:r w:rsidRPr="00C105B0">
              <w:t>12</w:t>
            </w:r>
          </w:p>
        </w:tc>
        <w:tc>
          <w:tcPr>
            <w:tcW w:w="1847" w:type="dxa"/>
          </w:tcPr>
          <w:p w14:paraId="3D9675D1" w14:textId="77777777" w:rsidR="00A80B0D" w:rsidRPr="00C105B0" w:rsidRDefault="00A80B0D" w:rsidP="00A80B0D">
            <w:pPr>
              <w:pStyle w:val="3"/>
              <w:spacing w:before="0" w:beforeAutospacing="0" w:after="0" w:afterAutospacing="0" w:line="240" w:lineRule="auto"/>
            </w:pPr>
            <w:r w:rsidRPr="00C105B0">
              <w:t>8</w:t>
            </w:r>
          </w:p>
        </w:tc>
      </w:tr>
      <w:tr w:rsidR="00A80B0D" w:rsidRPr="00C105B0" w14:paraId="6928F955" w14:textId="77777777" w:rsidTr="00D55A40">
        <w:trPr>
          <w:jc w:val="center"/>
        </w:trPr>
        <w:tc>
          <w:tcPr>
            <w:tcW w:w="3260" w:type="dxa"/>
          </w:tcPr>
          <w:p w14:paraId="433D2B53" w14:textId="77777777" w:rsidR="00A80B0D" w:rsidRPr="00C105B0" w:rsidRDefault="00A80B0D" w:rsidP="00A80B0D">
            <w:pPr>
              <w:pStyle w:val="3"/>
              <w:spacing w:before="0" w:beforeAutospacing="0" w:after="0" w:afterAutospacing="0" w:line="240" w:lineRule="auto"/>
              <w:ind w:firstLine="0"/>
            </w:pPr>
            <w:r w:rsidRPr="00C105B0">
              <w:t>3</w:t>
            </w:r>
          </w:p>
        </w:tc>
        <w:tc>
          <w:tcPr>
            <w:tcW w:w="1725" w:type="dxa"/>
          </w:tcPr>
          <w:p w14:paraId="1CB3DD74" w14:textId="77777777" w:rsidR="00A80B0D" w:rsidRPr="00C105B0" w:rsidRDefault="00A80B0D" w:rsidP="00A80B0D">
            <w:pPr>
              <w:pStyle w:val="3"/>
              <w:spacing w:before="0" w:beforeAutospacing="0" w:after="0" w:afterAutospacing="0" w:line="240" w:lineRule="auto"/>
            </w:pPr>
            <w:r w:rsidRPr="00C105B0">
              <w:t>7</w:t>
            </w:r>
          </w:p>
        </w:tc>
        <w:tc>
          <w:tcPr>
            <w:tcW w:w="1956" w:type="dxa"/>
          </w:tcPr>
          <w:p w14:paraId="3B437DDD" w14:textId="77777777" w:rsidR="00A80B0D" w:rsidRPr="00C105B0" w:rsidRDefault="00A80B0D" w:rsidP="00A80B0D">
            <w:pPr>
              <w:pStyle w:val="3"/>
              <w:spacing w:before="0" w:beforeAutospacing="0" w:after="0" w:afterAutospacing="0" w:line="240" w:lineRule="auto"/>
            </w:pPr>
            <w:r w:rsidRPr="00C105B0">
              <w:t>8</w:t>
            </w:r>
          </w:p>
        </w:tc>
        <w:tc>
          <w:tcPr>
            <w:tcW w:w="1847" w:type="dxa"/>
          </w:tcPr>
          <w:p w14:paraId="27404F25" w14:textId="77777777" w:rsidR="00A80B0D" w:rsidRPr="00C105B0" w:rsidRDefault="00A80B0D" w:rsidP="00A80B0D">
            <w:pPr>
              <w:pStyle w:val="3"/>
              <w:spacing w:before="0" w:beforeAutospacing="0" w:after="0" w:afterAutospacing="0" w:line="240" w:lineRule="auto"/>
            </w:pPr>
            <w:r w:rsidRPr="00C105B0">
              <w:t>17</w:t>
            </w:r>
          </w:p>
        </w:tc>
      </w:tr>
      <w:tr w:rsidR="00A80B0D" w:rsidRPr="00C105B0" w14:paraId="62325F4D" w14:textId="77777777" w:rsidTr="00D55A40">
        <w:trPr>
          <w:jc w:val="center"/>
        </w:trPr>
        <w:tc>
          <w:tcPr>
            <w:tcW w:w="3260" w:type="dxa"/>
          </w:tcPr>
          <w:p w14:paraId="63F2293D" w14:textId="77777777" w:rsidR="00A80B0D" w:rsidRPr="00C105B0" w:rsidRDefault="00A80B0D" w:rsidP="00A80B0D">
            <w:pPr>
              <w:pStyle w:val="3"/>
              <w:spacing w:before="0" w:beforeAutospacing="0" w:after="0" w:afterAutospacing="0" w:line="240" w:lineRule="auto"/>
              <w:ind w:firstLine="0"/>
            </w:pPr>
            <w:r w:rsidRPr="00C105B0">
              <w:t>4</w:t>
            </w:r>
          </w:p>
        </w:tc>
        <w:tc>
          <w:tcPr>
            <w:tcW w:w="1725" w:type="dxa"/>
          </w:tcPr>
          <w:p w14:paraId="5C24F08F" w14:textId="77777777" w:rsidR="00A80B0D" w:rsidRPr="00C105B0" w:rsidRDefault="00A80B0D" w:rsidP="00A80B0D">
            <w:pPr>
              <w:pStyle w:val="3"/>
              <w:spacing w:before="0" w:beforeAutospacing="0" w:after="0" w:afterAutospacing="0" w:line="240" w:lineRule="auto"/>
            </w:pPr>
            <w:r w:rsidRPr="00C105B0">
              <w:t>71</w:t>
            </w:r>
          </w:p>
        </w:tc>
        <w:tc>
          <w:tcPr>
            <w:tcW w:w="1956" w:type="dxa"/>
          </w:tcPr>
          <w:p w14:paraId="102D9144" w14:textId="77777777" w:rsidR="00A80B0D" w:rsidRPr="00C105B0" w:rsidRDefault="00A80B0D" w:rsidP="00A80B0D">
            <w:pPr>
              <w:pStyle w:val="3"/>
              <w:spacing w:before="0" w:beforeAutospacing="0" w:after="0" w:afterAutospacing="0" w:line="240" w:lineRule="auto"/>
            </w:pPr>
            <w:r w:rsidRPr="00C105B0">
              <w:t>7</w:t>
            </w:r>
          </w:p>
        </w:tc>
        <w:tc>
          <w:tcPr>
            <w:tcW w:w="1847" w:type="dxa"/>
          </w:tcPr>
          <w:p w14:paraId="3F2AA616" w14:textId="77777777" w:rsidR="00A80B0D" w:rsidRPr="00C105B0" w:rsidRDefault="00A80B0D" w:rsidP="00A80B0D">
            <w:pPr>
              <w:pStyle w:val="3"/>
              <w:spacing w:before="0" w:beforeAutospacing="0" w:after="0" w:afterAutospacing="0" w:line="240" w:lineRule="auto"/>
            </w:pPr>
            <w:r w:rsidRPr="00C105B0">
              <w:t>-</w:t>
            </w:r>
          </w:p>
        </w:tc>
      </w:tr>
      <w:tr w:rsidR="00A80B0D" w:rsidRPr="00C105B0" w14:paraId="257400D5" w14:textId="77777777" w:rsidTr="00D55A40">
        <w:trPr>
          <w:jc w:val="center"/>
        </w:trPr>
        <w:tc>
          <w:tcPr>
            <w:tcW w:w="3260" w:type="dxa"/>
          </w:tcPr>
          <w:p w14:paraId="417EE77C" w14:textId="77777777" w:rsidR="00A80B0D" w:rsidRPr="00C105B0" w:rsidRDefault="00A80B0D" w:rsidP="00A80B0D">
            <w:pPr>
              <w:pStyle w:val="3"/>
              <w:spacing w:before="0" w:beforeAutospacing="0" w:after="0" w:afterAutospacing="0" w:line="240" w:lineRule="auto"/>
              <w:ind w:firstLine="0"/>
            </w:pPr>
            <w:r w:rsidRPr="00C105B0">
              <w:t>5</w:t>
            </w:r>
          </w:p>
        </w:tc>
        <w:tc>
          <w:tcPr>
            <w:tcW w:w="1725" w:type="dxa"/>
          </w:tcPr>
          <w:p w14:paraId="3C836A12" w14:textId="77777777" w:rsidR="00A80B0D" w:rsidRPr="00C105B0" w:rsidRDefault="00A80B0D" w:rsidP="00A80B0D">
            <w:pPr>
              <w:pStyle w:val="3"/>
              <w:spacing w:before="0" w:beforeAutospacing="0" w:after="0" w:afterAutospacing="0" w:line="240" w:lineRule="auto"/>
            </w:pPr>
            <w:r w:rsidRPr="00C105B0">
              <w:t>-</w:t>
            </w:r>
          </w:p>
        </w:tc>
        <w:tc>
          <w:tcPr>
            <w:tcW w:w="1956" w:type="dxa"/>
          </w:tcPr>
          <w:p w14:paraId="18890F34" w14:textId="77777777" w:rsidR="00A80B0D" w:rsidRPr="00C105B0" w:rsidRDefault="00A80B0D" w:rsidP="00A80B0D">
            <w:pPr>
              <w:pStyle w:val="3"/>
              <w:spacing w:before="0" w:beforeAutospacing="0" w:after="0" w:afterAutospacing="0" w:line="240" w:lineRule="auto"/>
            </w:pPr>
            <w:r w:rsidRPr="00C105B0">
              <w:t>52</w:t>
            </w:r>
          </w:p>
        </w:tc>
        <w:tc>
          <w:tcPr>
            <w:tcW w:w="1847" w:type="dxa"/>
          </w:tcPr>
          <w:p w14:paraId="5D190F7C" w14:textId="77777777" w:rsidR="00A80B0D" w:rsidRPr="00C105B0" w:rsidRDefault="00A80B0D" w:rsidP="00A80B0D">
            <w:pPr>
              <w:pStyle w:val="3"/>
              <w:spacing w:before="0" w:beforeAutospacing="0" w:after="0" w:afterAutospacing="0" w:line="240" w:lineRule="auto"/>
            </w:pPr>
            <w:r w:rsidRPr="00C105B0">
              <w:t>41</w:t>
            </w:r>
          </w:p>
        </w:tc>
      </w:tr>
      <w:tr w:rsidR="00A80B0D" w:rsidRPr="00C105B0" w14:paraId="78578C4C" w14:textId="77777777" w:rsidTr="00D55A40">
        <w:trPr>
          <w:jc w:val="center"/>
        </w:trPr>
        <w:tc>
          <w:tcPr>
            <w:tcW w:w="3260" w:type="dxa"/>
          </w:tcPr>
          <w:p w14:paraId="6E50BDB9" w14:textId="77777777" w:rsidR="00A80B0D" w:rsidRPr="00C105B0" w:rsidRDefault="00A80B0D" w:rsidP="00A80B0D">
            <w:pPr>
              <w:pStyle w:val="3"/>
              <w:spacing w:before="0" w:beforeAutospacing="0" w:after="0" w:afterAutospacing="0" w:line="240" w:lineRule="auto"/>
              <w:ind w:firstLine="0"/>
            </w:pPr>
            <w:r w:rsidRPr="00C105B0">
              <w:t>Юридическим лицам</w:t>
            </w:r>
          </w:p>
        </w:tc>
        <w:tc>
          <w:tcPr>
            <w:tcW w:w="1725" w:type="dxa"/>
          </w:tcPr>
          <w:p w14:paraId="2A8B53F3" w14:textId="77777777" w:rsidR="00A80B0D" w:rsidRPr="00C105B0" w:rsidRDefault="00A80B0D" w:rsidP="00A80B0D">
            <w:pPr>
              <w:pStyle w:val="3"/>
              <w:spacing w:before="0" w:beforeAutospacing="0" w:after="0" w:afterAutospacing="0" w:line="240" w:lineRule="auto"/>
            </w:pPr>
            <w:r w:rsidRPr="00C105B0">
              <w:t>11 328</w:t>
            </w:r>
          </w:p>
        </w:tc>
        <w:tc>
          <w:tcPr>
            <w:tcW w:w="1956" w:type="dxa"/>
          </w:tcPr>
          <w:p w14:paraId="3E2060ED" w14:textId="77777777" w:rsidR="00A80B0D" w:rsidRPr="00C105B0" w:rsidRDefault="00A80B0D" w:rsidP="00A80B0D">
            <w:pPr>
              <w:pStyle w:val="3"/>
              <w:spacing w:before="0" w:beforeAutospacing="0" w:after="0" w:afterAutospacing="0" w:line="240" w:lineRule="auto"/>
            </w:pPr>
            <w:r w:rsidRPr="00C105B0">
              <w:t>11 770</w:t>
            </w:r>
          </w:p>
        </w:tc>
        <w:tc>
          <w:tcPr>
            <w:tcW w:w="1847" w:type="dxa"/>
          </w:tcPr>
          <w:p w14:paraId="7B334128" w14:textId="77777777" w:rsidR="00A80B0D" w:rsidRPr="00C105B0" w:rsidRDefault="00A80B0D" w:rsidP="00A80B0D">
            <w:pPr>
              <w:pStyle w:val="3"/>
              <w:spacing w:before="0" w:beforeAutospacing="0" w:after="0" w:afterAutospacing="0" w:line="240" w:lineRule="auto"/>
            </w:pPr>
            <w:r w:rsidRPr="00C105B0">
              <w:t>13 572</w:t>
            </w:r>
          </w:p>
        </w:tc>
      </w:tr>
      <w:tr w:rsidR="00A80B0D" w:rsidRPr="00C105B0" w14:paraId="7A4082E5" w14:textId="77777777" w:rsidTr="00D55A40">
        <w:trPr>
          <w:jc w:val="center"/>
        </w:trPr>
        <w:tc>
          <w:tcPr>
            <w:tcW w:w="3260" w:type="dxa"/>
          </w:tcPr>
          <w:p w14:paraId="51AE27AF" w14:textId="77777777" w:rsidR="00A80B0D" w:rsidRPr="00C105B0" w:rsidRDefault="00A80B0D" w:rsidP="00A80B0D">
            <w:pPr>
              <w:pStyle w:val="3"/>
              <w:spacing w:before="0" w:beforeAutospacing="0" w:after="0" w:afterAutospacing="0" w:line="240" w:lineRule="auto"/>
              <w:ind w:firstLine="0"/>
            </w:pPr>
            <w:r w:rsidRPr="00C105B0">
              <w:t>1</w:t>
            </w:r>
          </w:p>
        </w:tc>
        <w:tc>
          <w:tcPr>
            <w:tcW w:w="1725" w:type="dxa"/>
          </w:tcPr>
          <w:p w14:paraId="213549F4" w14:textId="77777777" w:rsidR="00A80B0D" w:rsidRPr="00C105B0" w:rsidRDefault="00A80B0D" w:rsidP="00A80B0D">
            <w:pPr>
              <w:pStyle w:val="3"/>
              <w:spacing w:before="0" w:beforeAutospacing="0" w:after="0" w:afterAutospacing="0" w:line="240" w:lineRule="auto"/>
            </w:pPr>
            <w:r w:rsidRPr="00C105B0">
              <w:t>6 512</w:t>
            </w:r>
          </w:p>
        </w:tc>
        <w:tc>
          <w:tcPr>
            <w:tcW w:w="1956" w:type="dxa"/>
          </w:tcPr>
          <w:p w14:paraId="1462E644" w14:textId="77777777" w:rsidR="00A80B0D" w:rsidRPr="00C105B0" w:rsidRDefault="00A80B0D" w:rsidP="00A80B0D">
            <w:pPr>
              <w:pStyle w:val="3"/>
              <w:spacing w:before="0" w:beforeAutospacing="0" w:after="0" w:afterAutospacing="0" w:line="240" w:lineRule="auto"/>
            </w:pPr>
            <w:r w:rsidRPr="00C105B0">
              <w:t>6 899</w:t>
            </w:r>
          </w:p>
        </w:tc>
        <w:tc>
          <w:tcPr>
            <w:tcW w:w="1847" w:type="dxa"/>
          </w:tcPr>
          <w:p w14:paraId="31288344" w14:textId="77777777" w:rsidR="00A80B0D" w:rsidRPr="00C105B0" w:rsidRDefault="00A80B0D" w:rsidP="00A80B0D">
            <w:pPr>
              <w:pStyle w:val="3"/>
              <w:spacing w:before="0" w:beforeAutospacing="0" w:after="0" w:afterAutospacing="0" w:line="240" w:lineRule="auto"/>
            </w:pPr>
            <w:r w:rsidRPr="00C105B0">
              <w:t>7 346</w:t>
            </w:r>
          </w:p>
        </w:tc>
      </w:tr>
      <w:tr w:rsidR="00A80B0D" w:rsidRPr="00C105B0" w14:paraId="71390227" w14:textId="77777777" w:rsidTr="00D55A40">
        <w:trPr>
          <w:jc w:val="center"/>
        </w:trPr>
        <w:tc>
          <w:tcPr>
            <w:tcW w:w="3260" w:type="dxa"/>
          </w:tcPr>
          <w:p w14:paraId="17EA7811" w14:textId="77777777" w:rsidR="00A80B0D" w:rsidRPr="00C105B0" w:rsidRDefault="00A80B0D" w:rsidP="00A80B0D">
            <w:pPr>
              <w:pStyle w:val="3"/>
              <w:spacing w:before="0" w:beforeAutospacing="0" w:after="0" w:afterAutospacing="0" w:line="240" w:lineRule="auto"/>
              <w:ind w:firstLine="0"/>
            </w:pPr>
            <w:r w:rsidRPr="00C105B0">
              <w:t>2</w:t>
            </w:r>
          </w:p>
        </w:tc>
        <w:tc>
          <w:tcPr>
            <w:tcW w:w="1725" w:type="dxa"/>
          </w:tcPr>
          <w:p w14:paraId="190CD4CF" w14:textId="77777777" w:rsidR="00A80B0D" w:rsidRPr="00C105B0" w:rsidRDefault="00A80B0D" w:rsidP="00A80B0D">
            <w:pPr>
              <w:pStyle w:val="3"/>
              <w:spacing w:before="0" w:beforeAutospacing="0" w:after="0" w:afterAutospacing="0" w:line="240" w:lineRule="auto"/>
            </w:pPr>
            <w:r w:rsidRPr="00C105B0">
              <w:t>3 332</w:t>
            </w:r>
          </w:p>
        </w:tc>
        <w:tc>
          <w:tcPr>
            <w:tcW w:w="1956" w:type="dxa"/>
          </w:tcPr>
          <w:p w14:paraId="1C4CB842" w14:textId="77777777" w:rsidR="00A80B0D" w:rsidRPr="00C105B0" w:rsidRDefault="00A80B0D" w:rsidP="00A80B0D">
            <w:pPr>
              <w:pStyle w:val="3"/>
              <w:spacing w:before="0" w:beforeAutospacing="0" w:after="0" w:afterAutospacing="0" w:line="240" w:lineRule="auto"/>
            </w:pPr>
            <w:r w:rsidRPr="00C105B0">
              <w:t>3 429</w:t>
            </w:r>
          </w:p>
        </w:tc>
        <w:tc>
          <w:tcPr>
            <w:tcW w:w="1847" w:type="dxa"/>
          </w:tcPr>
          <w:p w14:paraId="46457226" w14:textId="77777777" w:rsidR="00A80B0D" w:rsidRPr="00C105B0" w:rsidRDefault="00A80B0D" w:rsidP="00A80B0D">
            <w:pPr>
              <w:pStyle w:val="3"/>
              <w:spacing w:before="0" w:beforeAutospacing="0" w:after="0" w:afterAutospacing="0" w:line="240" w:lineRule="auto"/>
            </w:pPr>
            <w:r w:rsidRPr="00C105B0">
              <w:t>4 547</w:t>
            </w:r>
          </w:p>
        </w:tc>
      </w:tr>
      <w:tr w:rsidR="00A80B0D" w:rsidRPr="00C105B0" w14:paraId="1CA48057" w14:textId="77777777" w:rsidTr="00D55A40">
        <w:trPr>
          <w:jc w:val="center"/>
        </w:trPr>
        <w:tc>
          <w:tcPr>
            <w:tcW w:w="3260" w:type="dxa"/>
          </w:tcPr>
          <w:p w14:paraId="33149704" w14:textId="77777777" w:rsidR="00A80B0D" w:rsidRPr="00C105B0" w:rsidRDefault="00A80B0D" w:rsidP="00A80B0D">
            <w:pPr>
              <w:pStyle w:val="3"/>
              <w:spacing w:before="0" w:beforeAutospacing="0" w:after="0" w:afterAutospacing="0" w:line="240" w:lineRule="auto"/>
              <w:ind w:firstLine="0"/>
            </w:pPr>
            <w:r w:rsidRPr="00C105B0">
              <w:t>3</w:t>
            </w:r>
          </w:p>
        </w:tc>
        <w:tc>
          <w:tcPr>
            <w:tcW w:w="1725" w:type="dxa"/>
          </w:tcPr>
          <w:p w14:paraId="37F2503E" w14:textId="77777777" w:rsidR="00A80B0D" w:rsidRPr="00C105B0" w:rsidRDefault="00A80B0D" w:rsidP="00A80B0D">
            <w:pPr>
              <w:pStyle w:val="3"/>
              <w:spacing w:before="0" w:beforeAutospacing="0" w:after="0" w:afterAutospacing="0" w:line="240" w:lineRule="auto"/>
            </w:pPr>
            <w:r w:rsidRPr="00C105B0">
              <w:t>815</w:t>
            </w:r>
          </w:p>
        </w:tc>
        <w:tc>
          <w:tcPr>
            <w:tcW w:w="1956" w:type="dxa"/>
          </w:tcPr>
          <w:p w14:paraId="65FD218E" w14:textId="77777777" w:rsidR="00A80B0D" w:rsidRPr="00C105B0" w:rsidRDefault="00A80B0D" w:rsidP="00A80B0D">
            <w:pPr>
              <w:pStyle w:val="3"/>
              <w:spacing w:before="0" w:beforeAutospacing="0" w:after="0" w:afterAutospacing="0" w:line="240" w:lineRule="auto"/>
            </w:pPr>
            <w:r w:rsidRPr="00C105B0">
              <w:t>585</w:t>
            </w:r>
          </w:p>
        </w:tc>
        <w:tc>
          <w:tcPr>
            <w:tcW w:w="1847" w:type="dxa"/>
          </w:tcPr>
          <w:p w14:paraId="3AFD25EB" w14:textId="77777777" w:rsidR="00A80B0D" w:rsidRPr="00C105B0" w:rsidRDefault="00A80B0D" w:rsidP="00A80B0D">
            <w:pPr>
              <w:pStyle w:val="3"/>
              <w:spacing w:before="0" w:beforeAutospacing="0" w:after="0" w:afterAutospacing="0" w:line="240" w:lineRule="auto"/>
            </w:pPr>
            <w:r w:rsidRPr="00C105B0">
              <w:t>735</w:t>
            </w:r>
          </w:p>
        </w:tc>
      </w:tr>
      <w:tr w:rsidR="00A80B0D" w:rsidRPr="00C105B0" w14:paraId="55FFA07C" w14:textId="77777777" w:rsidTr="00D55A40">
        <w:trPr>
          <w:jc w:val="center"/>
        </w:trPr>
        <w:tc>
          <w:tcPr>
            <w:tcW w:w="3260" w:type="dxa"/>
          </w:tcPr>
          <w:p w14:paraId="6DDC4685" w14:textId="77777777" w:rsidR="00A80B0D" w:rsidRPr="00C105B0" w:rsidRDefault="00A80B0D" w:rsidP="00A80B0D">
            <w:pPr>
              <w:pStyle w:val="3"/>
              <w:spacing w:before="0" w:beforeAutospacing="0" w:after="0" w:afterAutospacing="0" w:line="240" w:lineRule="auto"/>
              <w:ind w:firstLine="0"/>
            </w:pPr>
            <w:r w:rsidRPr="00C105B0">
              <w:t>4</w:t>
            </w:r>
          </w:p>
        </w:tc>
        <w:tc>
          <w:tcPr>
            <w:tcW w:w="1725" w:type="dxa"/>
          </w:tcPr>
          <w:p w14:paraId="368A5002" w14:textId="77777777" w:rsidR="00A80B0D" w:rsidRPr="00C105B0" w:rsidRDefault="00A80B0D" w:rsidP="00A80B0D">
            <w:pPr>
              <w:pStyle w:val="3"/>
              <w:spacing w:before="0" w:beforeAutospacing="0" w:after="0" w:afterAutospacing="0" w:line="240" w:lineRule="auto"/>
            </w:pPr>
            <w:r w:rsidRPr="00C105B0">
              <w:t>222</w:t>
            </w:r>
          </w:p>
        </w:tc>
        <w:tc>
          <w:tcPr>
            <w:tcW w:w="1956" w:type="dxa"/>
          </w:tcPr>
          <w:p w14:paraId="732C2195" w14:textId="77777777" w:rsidR="00A80B0D" w:rsidRPr="00C105B0" w:rsidRDefault="00A80B0D" w:rsidP="00A80B0D">
            <w:pPr>
              <w:pStyle w:val="3"/>
              <w:spacing w:before="0" w:beforeAutospacing="0" w:after="0" w:afterAutospacing="0" w:line="240" w:lineRule="auto"/>
            </w:pPr>
            <w:r w:rsidRPr="00C105B0">
              <w:t>408</w:t>
            </w:r>
          </w:p>
        </w:tc>
        <w:tc>
          <w:tcPr>
            <w:tcW w:w="1847" w:type="dxa"/>
          </w:tcPr>
          <w:p w14:paraId="7F114E8E" w14:textId="77777777" w:rsidR="00A80B0D" w:rsidRPr="00C105B0" w:rsidRDefault="00A80B0D" w:rsidP="00A80B0D">
            <w:pPr>
              <w:pStyle w:val="3"/>
              <w:spacing w:before="0" w:beforeAutospacing="0" w:after="0" w:afterAutospacing="0" w:line="240" w:lineRule="auto"/>
            </w:pPr>
            <w:r w:rsidRPr="00C105B0">
              <w:t>457</w:t>
            </w:r>
          </w:p>
        </w:tc>
      </w:tr>
      <w:tr w:rsidR="00A80B0D" w:rsidRPr="00C105B0" w14:paraId="712FA103" w14:textId="77777777" w:rsidTr="00D55A40">
        <w:trPr>
          <w:jc w:val="center"/>
        </w:trPr>
        <w:tc>
          <w:tcPr>
            <w:tcW w:w="3260" w:type="dxa"/>
          </w:tcPr>
          <w:p w14:paraId="4ABC9B79" w14:textId="77777777" w:rsidR="00A80B0D" w:rsidRPr="00C105B0" w:rsidRDefault="00A80B0D" w:rsidP="00A80B0D">
            <w:pPr>
              <w:pStyle w:val="3"/>
              <w:spacing w:before="0" w:beforeAutospacing="0" w:after="0" w:afterAutospacing="0" w:line="240" w:lineRule="auto"/>
              <w:ind w:firstLine="0"/>
            </w:pPr>
            <w:r w:rsidRPr="00C105B0">
              <w:t>5</w:t>
            </w:r>
          </w:p>
        </w:tc>
        <w:tc>
          <w:tcPr>
            <w:tcW w:w="1725" w:type="dxa"/>
          </w:tcPr>
          <w:p w14:paraId="40A55669" w14:textId="77777777" w:rsidR="00A80B0D" w:rsidRPr="00C105B0" w:rsidRDefault="00A80B0D" w:rsidP="00A80B0D">
            <w:pPr>
              <w:pStyle w:val="3"/>
              <w:spacing w:before="0" w:beforeAutospacing="0" w:after="0" w:afterAutospacing="0" w:line="240" w:lineRule="auto"/>
            </w:pPr>
            <w:r w:rsidRPr="00C105B0">
              <w:t>447</w:t>
            </w:r>
          </w:p>
        </w:tc>
        <w:tc>
          <w:tcPr>
            <w:tcW w:w="1956" w:type="dxa"/>
          </w:tcPr>
          <w:p w14:paraId="21F0D1BD" w14:textId="77777777" w:rsidR="00A80B0D" w:rsidRPr="00C105B0" w:rsidRDefault="00A80B0D" w:rsidP="00A80B0D">
            <w:pPr>
              <w:pStyle w:val="3"/>
              <w:spacing w:before="0" w:beforeAutospacing="0" w:after="0" w:afterAutospacing="0" w:line="240" w:lineRule="auto"/>
            </w:pPr>
            <w:r w:rsidRPr="00C105B0">
              <w:t>449</w:t>
            </w:r>
          </w:p>
        </w:tc>
        <w:tc>
          <w:tcPr>
            <w:tcW w:w="1847" w:type="dxa"/>
          </w:tcPr>
          <w:p w14:paraId="2EAB001A" w14:textId="77777777" w:rsidR="00A80B0D" w:rsidRPr="00C105B0" w:rsidRDefault="00A80B0D" w:rsidP="00A80B0D">
            <w:pPr>
              <w:pStyle w:val="3"/>
              <w:spacing w:before="0" w:beforeAutospacing="0" w:after="0" w:afterAutospacing="0" w:line="240" w:lineRule="auto"/>
            </w:pPr>
            <w:r w:rsidRPr="00C105B0">
              <w:t>486</w:t>
            </w:r>
          </w:p>
        </w:tc>
      </w:tr>
      <w:tr w:rsidR="00A80B0D" w:rsidRPr="00C105B0" w14:paraId="08DEB1CB" w14:textId="77777777" w:rsidTr="00D55A40">
        <w:trPr>
          <w:jc w:val="center"/>
        </w:trPr>
        <w:tc>
          <w:tcPr>
            <w:tcW w:w="3260" w:type="dxa"/>
          </w:tcPr>
          <w:p w14:paraId="4B40D970" w14:textId="77777777" w:rsidR="00A80B0D" w:rsidRPr="00C105B0" w:rsidRDefault="00A80B0D" w:rsidP="00A80B0D">
            <w:pPr>
              <w:pStyle w:val="3"/>
              <w:spacing w:before="0" w:beforeAutospacing="0" w:after="0" w:afterAutospacing="0" w:line="240" w:lineRule="auto"/>
              <w:ind w:firstLine="0"/>
            </w:pPr>
            <w:r w:rsidRPr="00C105B0">
              <w:t>Физическим лицам</w:t>
            </w:r>
          </w:p>
        </w:tc>
        <w:tc>
          <w:tcPr>
            <w:tcW w:w="1725" w:type="dxa"/>
          </w:tcPr>
          <w:p w14:paraId="11E28684" w14:textId="77777777" w:rsidR="00A80B0D" w:rsidRPr="00C105B0" w:rsidRDefault="00A80B0D" w:rsidP="00A80B0D">
            <w:pPr>
              <w:pStyle w:val="3"/>
              <w:spacing w:before="0" w:beforeAutospacing="0" w:after="0" w:afterAutospacing="0" w:line="240" w:lineRule="auto"/>
            </w:pPr>
            <w:r w:rsidRPr="00C105B0">
              <w:t>4 337</w:t>
            </w:r>
          </w:p>
        </w:tc>
        <w:tc>
          <w:tcPr>
            <w:tcW w:w="1956" w:type="dxa"/>
          </w:tcPr>
          <w:p w14:paraId="3A4F2DDA" w14:textId="77777777" w:rsidR="00A80B0D" w:rsidRPr="00C105B0" w:rsidRDefault="00A80B0D" w:rsidP="00A80B0D">
            <w:pPr>
              <w:pStyle w:val="3"/>
              <w:spacing w:before="0" w:beforeAutospacing="0" w:after="0" w:afterAutospacing="0" w:line="240" w:lineRule="auto"/>
            </w:pPr>
            <w:r w:rsidRPr="00C105B0">
              <w:t>4 926</w:t>
            </w:r>
          </w:p>
        </w:tc>
        <w:tc>
          <w:tcPr>
            <w:tcW w:w="1847" w:type="dxa"/>
          </w:tcPr>
          <w:p w14:paraId="0A9ECB02" w14:textId="77777777" w:rsidR="00A80B0D" w:rsidRPr="00C105B0" w:rsidRDefault="00A80B0D" w:rsidP="00A80B0D">
            <w:pPr>
              <w:pStyle w:val="3"/>
              <w:spacing w:before="0" w:beforeAutospacing="0" w:after="0" w:afterAutospacing="0" w:line="240" w:lineRule="auto"/>
            </w:pPr>
            <w:r w:rsidRPr="00C105B0">
              <w:t>6 171</w:t>
            </w:r>
          </w:p>
        </w:tc>
      </w:tr>
      <w:tr w:rsidR="00A80B0D" w:rsidRPr="00C105B0" w14:paraId="31D45FE5" w14:textId="77777777" w:rsidTr="00D55A40">
        <w:trPr>
          <w:jc w:val="center"/>
        </w:trPr>
        <w:tc>
          <w:tcPr>
            <w:tcW w:w="3260" w:type="dxa"/>
          </w:tcPr>
          <w:p w14:paraId="625776B6" w14:textId="77777777" w:rsidR="00A80B0D" w:rsidRPr="00C105B0" w:rsidRDefault="00A80B0D" w:rsidP="00A80B0D">
            <w:pPr>
              <w:pStyle w:val="3"/>
              <w:spacing w:before="0" w:beforeAutospacing="0" w:after="0" w:afterAutospacing="0" w:line="240" w:lineRule="auto"/>
              <w:ind w:firstLine="0"/>
            </w:pPr>
            <w:r w:rsidRPr="00C105B0">
              <w:t>1</w:t>
            </w:r>
          </w:p>
        </w:tc>
        <w:tc>
          <w:tcPr>
            <w:tcW w:w="1725" w:type="dxa"/>
          </w:tcPr>
          <w:p w14:paraId="50720646" w14:textId="77777777" w:rsidR="00A80B0D" w:rsidRPr="00C105B0" w:rsidRDefault="00A80B0D" w:rsidP="00A80B0D">
            <w:pPr>
              <w:pStyle w:val="3"/>
              <w:spacing w:before="0" w:beforeAutospacing="0" w:after="0" w:afterAutospacing="0" w:line="240" w:lineRule="auto"/>
            </w:pPr>
            <w:r w:rsidRPr="00C105B0">
              <w:t>1</w:t>
            </w:r>
          </w:p>
        </w:tc>
        <w:tc>
          <w:tcPr>
            <w:tcW w:w="1956" w:type="dxa"/>
          </w:tcPr>
          <w:p w14:paraId="41678352" w14:textId="77777777" w:rsidR="00A80B0D" w:rsidRPr="00C105B0" w:rsidRDefault="00A80B0D" w:rsidP="00A80B0D">
            <w:pPr>
              <w:pStyle w:val="3"/>
              <w:spacing w:before="0" w:beforeAutospacing="0" w:after="0" w:afterAutospacing="0" w:line="240" w:lineRule="auto"/>
            </w:pPr>
            <w:r w:rsidRPr="00C105B0">
              <w:t>1</w:t>
            </w:r>
          </w:p>
        </w:tc>
        <w:tc>
          <w:tcPr>
            <w:tcW w:w="1847" w:type="dxa"/>
          </w:tcPr>
          <w:p w14:paraId="3B25BD1A" w14:textId="77777777" w:rsidR="00A80B0D" w:rsidRPr="00C105B0" w:rsidRDefault="00A80B0D" w:rsidP="00A80B0D">
            <w:pPr>
              <w:pStyle w:val="3"/>
              <w:spacing w:before="0" w:beforeAutospacing="0" w:after="0" w:afterAutospacing="0" w:line="240" w:lineRule="auto"/>
            </w:pPr>
            <w:r w:rsidRPr="00C105B0">
              <w:t>71</w:t>
            </w:r>
          </w:p>
        </w:tc>
      </w:tr>
      <w:tr w:rsidR="00A80B0D" w:rsidRPr="00C105B0" w14:paraId="3976D711" w14:textId="77777777" w:rsidTr="00D55A40">
        <w:trPr>
          <w:jc w:val="center"/>
        </w:trPr>
        <w:tc>
          <w:tcPr>
            <w:tcW w:w="3260" w:type="dxa"/>
          </w:tcPr>
          <w:p w14:paraId="3B6F98AD" w14:textId="77777777" w:rsidR="00A80B0D" w:rsidRPr="00C105B0" w:rsidRDefault="00A80B0D" w:rsidP="00A80B0D">
            <w:pPr>
              <w:pStyle w:val="3"/>
              <w:spacing w:before="0" w:beforeAutospacing="0" w:after="0" w:afterAutospacing="0" w:line="240" w:lineRule="auto"/>
              <w:ind w:firstLine="0"/>
            </w:pPr>
            <w:r w:rsidRPr="00C105B0">
              <w:t>2</w:t>
            </w:r>
          </w:p>
        </w:tc>
        <w:tc>
          <w:tcPr>
            <w:tcW w:w="1725" w:type="dxa"/>
          </w:tcPr>
          <w:p w14:paraId="4340FF70" w14:textId="77777777" w:rsidR="00A80B0D" w:rsidRPr="00C105B0" w:rsidRDefault="00A80B0D" w:rsidP="00A80B0D">
            <w:pPr>
              <w:pStyle w:val="3"/>
              <w:spacing w:before="0" w:beforeAutospacing="0" w:after="0" w:afterAutospacing="0" w:line="240" w:lineRule="auto"/>
            </w:pPr>
            <w:r w:rsidRPr="00C105B0">
              <w:t>3 959</w:t>
            </w:r>
          </w:p>
        </w:tc>
        <w:tc>
          <w:tcPr>
            <w:tcW w:w="1956" w:type="dxa"/>
          </w:tcPr>
          <w:p w14:paraId="2F943651" w14:textId="77777777" w:rsidR="00A80B0D" w:rsidRPr="00C105B0" w:rsidRDefault="00A80B0D" w:rsidP="00A80B0D">
            <w:pPr>
              <w:pStyle w:val="3"/>
              <w:spacing w:before="0" w:beforeAutospacing="0" w:after="0" w:afterAutospacing="0" w:line="240" w:lineRule="auto"/>
            </w:pPr>
            <w:r w:rsidRPr="00C105B0">
              <w:t>4 487</w:t>
            </w:r>
          </w:p>
        </w:tc>
        <w:tc>
          <w:tcPr>
            <w:tcW w:w="1847" w:type="dxa"/>
          </w:tcPr>
          <w:p w14:paraId="63F497F7" w14:textId="77777777" w:rsidR="00A80B0D" w:rsidRPr="00C105B0" w:rsidRDefault="00A80B0D" w:rsidP="00A80B0D">
            <w:pPr>
              <w:pStyle w:val="3"/>
              <w:spacing w:before="0" w:beforeAutospacing="0" w:after="0" w:afterAutospacing="0" w:line="240" w:lineRule="auto"/>
            </w:pPr>
            <w:r w:rsidRPr="00C105B0">
              <w:t>5 521</w:t>
            </w:r>
          </w:p>
        </w:tc>
      </w:tr>
      <w:tr w:rsidR="00A80B0D" w:rsidRPr="00C105B0" w14:paraId="5FA34B09" w14:textId="77777777" w:rsidTr="00D55A40">
        <w:trPr>
          <w:jc w:val="center"/>
        </w:trPr>
        <w:tc>
          <w:tcPr>
            <w:tcW w:w="3260" w:type="dxa"/>
          </w:tcPr>
          <w:p w14:paraId="1F257614" w14:textId="77777777" w:rsidR="00A80B0D" w:rsidRPr="00C105B0" w:rsidRDefault="00A80B0D" w:rsidP="00A80B0D">
            <w:pPr>
              <w:pStyle w:val="3"/>
              <w:spacing w:before="0" w:beforeAutospacing="0" w:after="0" w:afterAutospacing="0" w:line="240" w:lineRule="auto"/>
              <w:ind w:firstLine="0"/>
            </w:pPr>
            <w:r w:rsidRPr="00C105B0">
              <w:t>3</w:t>
            </w:r>
          </w:p>
        </w:tc>
        <w:tc>
          <w:tcPr>
            <w:tcW w:w="1725" w:type="dxa"/>
          </w:tcPr>
          <w:p w14:paraId="7B2F9B01" w14:textId="77777777" w:rsidR="00A80B0D" w:rsidRPr="00C105B0" w:rsidRDefault="00A80B0D" w:rsidP="00A80B0D">
            <w:pPr>
              <w:pStyle w:val="3"/>
              <w:spacing w:before="0" w:beforeAutospacing="0" w:after="0" w:afterAutospacing="0" w:line="240" w:lineRule="auto"/>
            </w:pPr>
            <w:r w:rsidRPr="00C105B0">
              <w:t>163</w:t>
            </w:r>
          </w:p>
        </w:tc>
        <w:tc>
          <w:tcPr>
            <w:tcW w:w="1956" w:type="dxa"/>
          </w:tcPr>
          <w:p w14:paraId="6C5A68FA" w14:textId="77777777" w:rsidR="00A80B0D" w:rsidRPr="00C105B0" w:rsidRDefault="00A80B0D" w:rsidP="00A80B0D">
            <w:pPr>
              <w:pStyle w:val="3"/>
              <w:spacing w:before="0" w:beforeAutospacing="0" w:after="0" w:afterAutospacing="0" w:line="240" w:lineRule="auto"/>
            </w:pPr>
            <w:r w:rsidRPr="00C105B0">
              <w:t>232</w:t>
            </w:r>
          </w:p>
        </w:tc>
        <w:tc>
          <w:tcPr>
            <w:tcW w:w="1847" w:type="dxa"/>
          </w:tcPr>
          <w:p w14:paraId="637A2326" w14:textId="77777777" w:rsidR="00A80B0D" w:rsidRPr="00C105B0" w:rsidRDefault="00A80B0D" w:rsidP="00A80B0D">
            <w:pPr>
              <w:pStyle w:val="3"/>
              <w:spacing w:before="0" w:beforeAutospacing="0" w:after="0" w:afterAutospacing="0" w:line="240" w:lineRule="auto"/>
            </w:pPr>
            <w:r w:rsidRPr="00C105B0">
              <w:t>356</w:t>
            </w:r>
          </w:p>
        </w:tc>
      </w:tr>
      <w:tr w:rsidR="00A80B0D" w:rsidRPr="00C105B0" w14:paraId="2A551948" w14:textId="77777777" w:rsidTr="00D55A40">
        <w:trPr>
          <w:jc w:val="center"/>
        </w:trPr>
        <w:tc>
          <w:tcPr>
            <w:tcW w:w="3260" w:type="dxa"/>
          </w:tcPr>
          <w:p w14:paraId="16827722" w14:textId="77777777" w:rsidR="00A80B0D" w:rsidRPr="00C105B0" w:rsidRDefault="00A80B0D" w:rsidP="00A80B0D">
            <w:pPr>
              <w:pStyle w:val="3"/>
              <w:spacing w:before="0" w:beforeAutospacing="0" w:after="0" w:afterAutospacing="0" w:line="240" w:lineRule="auto"/>
              <w:ind w:firstLine="0"/>
            </w:pPr>
            <w:r w:rsidRPr="00C105B0">
              <w:t>4</w:t>
            </w:r>
          </w:p>
        </w:tc>
        <w:tc>
          <w:tcPr>
            <w:tcW w:w="1725" w:type="dxa"/>
          </w:tcPr>
          <w:p w14:paraId="2621052E" w14:textId="77777777" w:rsidR="00A80B0D" w:rsidRPr="00C105B0" w:rsidRDefault="00A80B0D" w:rsidP="00A80B0D">
            <w:pPr>
              <w:pStyle w:val="3"/>
              <w:spacing w:before="0" w:beforeAutospacing="0" w:after="0" w:afterAutospacing="0" w:line="240" w:lineRule="auto"/>
            </w:pPr>
            <w:r w:rsidRPr="00C105B0">
              <w:t>19</w:t>
            </w:r>
          </w:p>
        </w:tc>
        <w:tc>
          <w:tcPr>
            <w:tcW w:w="1956" w:type="dxa"/>
          </w:tcPr>
          <w:p w14:paraId="5BD08788" w14:textId="77777777" w:rsidR="00A80B0D" w:rsidRPr="00C105B0" w:rsidRDefault="00A80B0D" w:rsidP="00A80B0D">
            <w:pPr>
              <w:pStyle w:val="3"/>
              <w:spacing w:before="0" w:beforeAutospacing="0" w:after="0" w:afterAutospacing="0" w:line="240" w:lineRule="auto"/>
            </w:pPr>
            <w:r w:rsidRPr="00C105B0">
              <w:t>14</w:t>
            </w:r>
          </w:p>
        </w:tc>
        <w:tc>
          <w:tcPr>
            <w:tcW w:w="1847" w:type="dxa"/>
          </w:tcPr>
          <w:p w14:paraId="69EC53BB" w14:textId="77777777" w:rsidR="00A80B0D" w:rsidRPr="00C105B0" w:rsidRDefault="00A80B0D" w:rsidP="00A80B0D">
            <w:pPr>
              <w:pStyle w:val="3"/>
              <w:spacing w:before="0" w:beforeAutospacing="0" w:after="0" w:afterAutospacing="0" w:line="240" w:lineRule="auto"/>
            </w:pPr>
            <w:r w:rsidRPr="00C105B0">
              <w:t>23</w:t>
            </w:r>
          </w:p>
        </w:tc>
      </w:tr>
      <w:tr w:rsidR="00A80B0D" w:rsidRPr="00C105B0" w14:paraId="3A4B3033" w14:textId="77777777" w:rsidTr="00D55A40">
        <w:trPr>
          <w:jc w:val="center"/>
        </w:trPr>
        <w:tc>
          <w:tcPr>
            <w:tcW w:w="3260" w:type="dxa"/>
          </w:tcPr>
          <w:p w14:paraId="1DB7ABA9" w14:textId="77777777" w:rsidR="00A80B0D" w:rsidRPr="00C105B0" w:rsidRDefault="00A80B0D" w:rsidP="00A80B0D">
            <w:pPr>
              <w:pStyle w:val="3"/>
              <w:spacing w:before="0" w:beforeAutospacing="0" w:after="0" w:afterAutospacing="0" w:line="240" w:lineRule="auto"/>
              <w:ind w:firstLine="0"/>
            </w:pPr>
            <w:r w:rsidRPr="00C105B0">
              <w:t>5</w:t>
            </w:r>
          </w:p>
        </w:tc>
        <w:tc>
          <w:tcPr>
            <w:tcW w:w="1725" w:type="dxa"/>
          </w:tcPr>
          <w:p w14:paraId="2A413755" w14:textId="77777777" w:rsidR="00A80B0D" w:rsidRPr="00C105B0" w:rsidRDefault="00A80B0D" w:rsidP="00A80B0D">
            <w:pPr>
              <w:pStyle w:val="3"/>
              <w:spacing w:before="0" w:beforeAutospacing="0" w:after="0" w:afterAutospacing="0" w:line="240" w:lineRule="auto"/>
            </w:pPr>
            <w:r w:rsidRPr="00C105B0">
              <w:t>196</w:t>
            </w:r>
          </w:p>
        </w:tc>
        <w:tc>
          <w:tcPr>
            <w:tcW w:w="1956" w:type="dxa"/>
          </w:tcPr>
          <w:p w14:paraId="22F46F8D" w14:textId="77777777" w:rsidR="00A80B0D" w:rsidRPr="00C105B0" w:rsidRDefault="00A80B0D" w:rsidP="00A80B0D">
            <w:pPr>
              <w:pStyle w:val="3"/>
              <w:spacing w:before="0" w:beforeAutospacing="0" w:after="0" w:afterAutospacing="0" w:line="240" w:lineRule="auto"/>
            </w:pPr>
            <w:r w:rsidRPr="00C105B0">
              <w:t>191</w:t>
            </w:r>
          </w:p>
        </w:tc>
        <w:tc>
          <w:tcPr>
            <w:tcW w:w="1847" w:type="dxa"/>
          </w:tcPr>
          <w:p w14:paraId="16684C7E" w14:textId="77777777" w:rsidR="00A80B0D" w:rsidRPr="00C105B0" w:rsidRDefault="00A80B0D" w:rsidP="00A80B0D">
            <w:pPr>
              <w:pStyle w:val="3"/>
              <w:spacing w:before="0" w:beforeAutospacing="0" w:after="0" w:afterAutospacing="0" w:line="240" w:lineRule="auto"/>
            </w:pPr>
            <w:r w:rsidRPr="00C105B0">
              <w:t>200</w:t>
            </w:r>
          </w:p>
        </w:tc>
      </w:tr>
      <w:tr w:rsidR="00A80B0D" w:rsidRPr="00C105B0" w14:paraId="3F524E75" w14:textId="77777777" w:rsidTr="00D55A40">
        <w:trPr>
          <w:jc w:val="center"/>
        </w:trPr>
        <w:tc>
          <w:tcPr>
            <w:tcW w:w="3260" w:type="dxa"/>
          </w:tcPr>
          <w:p w14:paraId="7184F7BB" w14:textId="77777777" w:rsidR="00A80B0D" w:rsidRPr="00C105B0" w:rsidRDefault="00A80B0D" w:rsidP="00A80B0D">
            <w:pPr>
              <w:pStyle w:val="3"/>
              <w:spacing w:before="0" w:beforeAutospacing="0" w:after="0" w:afterAutospacing="0" w:line="240" w:lineRule="auto"/>
              <w:ind w:firstLine="0"/>
            </w:pPr>
            <w:r w:rsidRPr="00C105B0">
              <w:t>Итого</w:t>
            </w:r>
          </w:p>
        </w:tc>
        <w:tc>
          <w:tcPr>
            <w:tcW w:w="1725" w:type="dxa"/>
          </w:tcPr>
          <w:p w14:paraId="1520ADA8" w14:textId="77777777" w:rsidR="00A80B0D" w:rsidRPr="00C105B0" w:rsidRDefault="00A80B0D" w:rsidP="00A80B0D">
            <w:pPr>
              <w:pStyle w:val="3"/>
              <w:spacing w:before="0" w:beforeAutospacing="0" w:after="0" w:afterAutospacing="0" w:line="240" w:lineRule="auto"/>
            </w:pPr>
            <w:r w:rsidRPr="00C105B0">
              <w:t>17 261</w:t>
            </w:r>
          </w:p>
        </w:tc>
        <w:tc>
          <w:tcPr>
            <w:tcW w:w="1956" w:type="dxa"/>
          </w:tcPr>
          <w:p w14:paraId="21B2CF17" w14:textId="77777777" w:rsidR="00A80B0D" w:rsidRPr="00C105B0" w:rsidRDefault="00A80B0D" w:rsidP="00A80B0D">
            <w:pPr>
              <w:pStyle w:val="3"/>
              <w:spacing w:before="0" w:beforeAutospacing="0" w:after="0" w:afterAutospacing="0" w:line="240" w:lineRule="auto"/>
            </w:pPr>
            <w:r w:rsidRPr="00C105B0">
              <w:t>18 236</w:t>
            </w:r>
          </w:p>
        </w:tc>
        <w:tc>
          <w:tcPr>
            <w:tcW w:w="1847" w:type="dxa"/>
          </w:tcPr>
          <w:p w14:paraId="63BF5CA7" w14:textId="77777777" w:rsidR="00A80B0D" w:rsidRPr="00C105B0" w:rsidRDefault="00A80B0D" w:rsidP="00A80B0D">
            <w:pPr>
              <w:pStyle w:val="3"/>
              <w:spacing w:before="0" w:beforeAutospacing="0" w:after="0" w:afterAutospacing="0" w:line="240" w:lineRule="auto"/>
            </w:pPr>
            <w:r w:rsidRPr="00C105B0">
              <w:t>21 378</w:t>
            </w:r>
          </w:p>
        </w:tc>
      </w:tr>
    </w:tbl>
    <w:p w14:paraId="5398A589" w14:textId="77777777" w:rsidR="00A80B0D" w:rsidRPr="00C105B0" w:rsidRDefault="00A80B0D" w:rsidP="00A80B0D">
      <w:pPr>
        <w:pStyle w:val="3"/>
        <w:spacing w:before="0" w:beforeAutospacing="0" w:after="0" w:afterAutospacing="0" w:line="240" w:lineRule="auto"/>
      </w:pPr>
      <w:r w:rsidRPr="00C105B0">
        <w:t xml:space="preserve">На основании данных представленных в таблице </w:t>
      </w:r>
      <w:r w:rsidR="00D55A40">
        <w:t>3</w:t>
      </w:r>
      <w:r w:rsidRPr="00C105B0">
        <w:t xml:space="preserve"> мы видим, что большая часть кредитов, предоставленных банком, относится к высшим категориям качества – 1 и 2, однако ссудная задолженность с низкими категориями качества в банке тоже присутствует, что касается всех категорий заемщиков.</w:t>
      </w:r>
      <w:r w:rsidR="002E4D49">
        <w:t xml:space="preserve"> А объемы безнадежных ссуд с каждым годом увеличиваются.</w:t>
      </w:r>
    </w:p>
    <w:p w14:paraId="22135A1B" w14:textId="77777777" w:rsidR="00A80B0D" w:rsidRPr="00C105B0" w:rsidRDefault="002E4D49" w:rsidP="00A80B0D">
      <w:pPr>
        <w:pStyle w:val="3"/>
        <w:spacing w:before="0" w:beforeAutospacing="0" w:after="0" w:afterAutospacing="0" w:line="240" w:lineRule="auto"/>
        <w:rPr>
          <w:bCs/>
        </w:rPr>
      </w:pPr>
      <w:r>
        <w:rPr>
          <w:bCs/>
        </w:rPr>
        <w:t>Далее проанализируем данные о динамике объемов резервов на возможные потери по ссудам</w:t>
      </w:r>
      <w:r w:rsidRPr="002E4D49">
        <w:rPr>
          <w:bCs/>
        </w:rPr>
        <w:t xml:space="preserve"> </w:t>
      </w:r>
      <w:r w:rsidRPr="00C105B0">
        <w:rPr>
          <w:bCs/>
        </w:rPr>
        <w:t>ПАО «Сбербанк»</w:t>
      </w:r>
      <w:r>
        <w:rPr>
          <w:bCs/>
        </w:rPr>
        <w:t xml:space="preserve"> (таблица </w:t>
      </w:r>
      <w:r w:rsidR="00D55A40">
        <w:rPr>
          <w:bCs/>
        </w:rPr>
        <w:t>4</w:t>
      </w:r>
      <w:r>
        <w:rPr>
          <w:bCs/>
        </w:rPr>
        <w:t>)</w:t>
      </w:r>
      <w:r w:rsidRPr="00C105B0">
        <w:rPr>
          <w:bCs/>
        </w:rPr>
        <w:t>.</w:t>
      </w:r>
      <w:r>
        <w:rPr>
          <w:bCs/>
        </w:rPr>
        <w:t xml:space="preserve"> </w:t>
      </w:r>
      <w:r w:rsidR="00A80B0D" w:rsidRPr="00C105B0">
        <w:rPr>
          <w:bCs/>
        </w:rPr>
        <w:t xml:space="preserve">Формирование резерва </w:t>
      </w:r>
      <w:r w:rsidRPr="00C105B0">
        <w:rPr>
          <w:bCs/>
        </w:rPr>
        <w:t xml:space="preserve">на возможные потери по ссудам  </w:t>
      </w:r>
      <w:r w:rsidR="00A80B0D" w:rsidRPr="00C105B0">
        <w:rPr>
          <w:bCs/>
        </w:rPr>
        <w:t>обеспечивает банку более стабильные условия финансовой деятельности и позволяет избегать колебаний величины прибыли, связанной со списанием потерь по ссудам. Резервы на потери по ссудам формируются из отчислений на расходы.</w:t>
      </w:r>
    </w:p>
    <w:p w14:paraId="5B746F69" w14:textId="77777777" w:rsidR="00A80B0D" w:rsidRPr="00C105B0" w:rsidRDefault="00A80B0D" w:rsidP="00A80B0D">
      <w:pPr>
        <w:pStyle w:val="3"/>
        <w:spacing w:before="0" w:beforeAutospacing="0" w:after="0" w:afterAutospacing="0" w:line="240" w:lineRule="auto"/>
        <w:rPr>
          <w:bCs/>
        </w:rPr>
      </w:pPr>
      <w:r w:rsidRPr="00C105B0">
        <w:rPr>
          <w:bCs/>
        </w:rPr>
        <w:t xml:space="preserve">Таблица </w:t>
      </w:r>
      <w:r w:rsidR="00D55A40">
        <w:rPr>
          <w:bCs/>
        </w:rPr>
        <w:t>4</w:t>
      </w:r>
      <w:r w:rsidRPr="00C105B0">
        <w:rPr>
          <w:bCs/>
        </w:rPr>
        <w:t xml:space="preserve">  Сведения о резервах на возможные потери по ссудам ПАО «Сбербанк» за 2017-2019гг., млн. руб.</w:t>
      </w:r>
      <w:r w:rsidR="00613041" w:rsidRPr="00613041">
        <w:t xml:space="preserve"> </w:t>
      </w:r>
      <w:r w:rsidR="00613041">
        <w:t>[9,10]</w:t>
      </w:r>
    </w:p>
    <w:tbl>
      <w:tblPr>
        <w:tblStyle w:val="a7"/>
        <w:tblW w:w="0" w:type="auto"/>
        <w:jc w:val="center"/>
        <w:tblLook w:val="04A0" w:firstRow="1" w:lastRow="0" w:firstColumn="1" w:lastColumn="0" w:noHBand="0" w:noVBand="1"/>
      </w:tblPr>
      <w:tblGrid>
        <w:gridCol w:w="3249"/>
        <w:gridCol w:w="1926"/>
        <w:gridCol w:w="1958"/>
        <w:gridCol w:w="1927"/>
      </w:tblGrid>
      <w:tr w:rsidR="00A80B0D" w:rsidRPr="00C105B0" w14:paraId="01FBE8EE" w14:textId="77777777" w:rsidTr="00D55A40">
        <w:trPr>
          <w:trHeight w:val="416"/>
          <w:jc w:val="center"/>
        </w:trPr>
        <w:tc>
          <w:tcPr>
            <w:tcW w:w="3424" w:type="dxa"/>
          </w:tcPr>
          <w:p w14:paraId="1CE2F26D" w14:textId="77777777" w:rsidR="00A80B0D" w:rsidRPr="00C105B0" w:rsidRDefault="00A80B0D" w:rsidP="00A80B0D">
            <w:pPr>
              <w:pStyle w:val="3"/>
              <w:spacing w:before="0" w:beforeAutospacing="0" w:after="0" w:afterAutospacing="0" w:line="240" w:lineRule="auto"/>
              <w:ind w:firstLine="0"/>
              <w:rPr>
                <w:bCs/>
              </w:rPr>
            </w:pPr>
            <w:r w:rsidRPr="00C105B0">
              <w:rPr>
                <w:bCs/>
              </w:rPr>
              <w:t>Показатель</w:t>
            </w:r>
          </w:p>
        </w:tc>
        <w:tc>
          <w:tcPr>
            <w:tcW w:w="1965" w:type="dxa"/>
          </w:tcPr>
          <w:p w14:paraId="497B0CEC" w14:textId="77777777" w:rsidR="00A80B0D" w:rsidRPr="00C105B0" w:rsidRDefault="00A80B0D" w:rsidP="00A80B0D">
            <w:pPr>
              <w:pStyle w:val="3"/>
              <w:spacing w:before="0" w:beforeAutospacing="0" w:after="0" w:afterAutospacing="0" w:line="240" w:lineRule="auto"/>
              <w:rPr>
                <w:bCs/>
              </w:rPr>
            </w:pPr>
            <w:r w:rsidRPr="00C105B0">
              <w:rPr>
                <w:bCs/>
              </w:rPr>
              <w:t>2017</w:t>
            </w:r>
          </w:p>
        </w:tc>
        <w:tc>
          <w:tcPr>
            <w:tcW w:w="1966" w:type="dxa"/>
          </w:tcPr>
          <w:p w14:paraId="10ABA4F6" w14:textId="77777777" w:rsidR="00A80B0D" w:rsidRPr="00C105B0" w:rsidRDefault="00A80B0D" w:rsidP="00A80B0D">
            <w:pPr>
              <w:pStyle w:val="3"/>
              <w:spacing w:before="0" w:beforeAutospacing="0" w:after="0" w:afterAutospacing="0" w:line="240" w:lineRule="auto"/>
              <w:rPr>
                <w:bCs/>
              </w:rPr>
            </w:pPr>
            <w:r w:rsidRPr="00C105B0">
              <w:rPr>
                <w:bCs/>
              </w:rPr>
              <w:t>2018</w:t>
            </w:r>
          </w:p>
        </w:tc>
        <w:tc>
          <w:tcPr>
            <w:tcW w:w="1966" w:type="dxa"/>
          </w:tcPr>
          <w:p w14:paraId="23E42213" w14:textId="77777777" w:rsidR="00A80B0D" w:rsidRPr="00C105B0" w:rsidRDefault="00A80B0D" w:rsidP="00A80B0D">
            <w:pPr>
              <w:pStyle w:val="3"/>
              <w:spacing w:before="0" w:beforeAutospacing="0" w:after="0" w:afterAutospacing="0" w:line="240" w:lineRule="auto"/>
              <w:rPr>
                <w:bCs/>
              </w:rPr>
            </w:pPr>
            <w:r w:rsidRPr="00C105B0">
              <w:rPr>
                <w:bCs/>
              </w:rPr>
              <w:t>2019</w:t>
            </w:r>
          </w:p>
        </w:tc>
      </w:tr>
      <w:tr w:rsidR="00A80B0D" w:rsidRPr="00C105B0" w14:paraId="43B3580F" w14:textId="77777777" w:rsidTr="00D55A40">
        <w:trPr>
          <w:jc w:val="center"/>
        </w:trPr>
        <w:tc>
          <w:tcPr>
            <w:tcW w:w="3424" w:type="dxa"/>
          </w:tcPr>
          <w:p w14:paraId="3823A484" w14:textId="77777777" w:rsidR="00A80B0D" w:rsidRPr="00C105B0" w:rsidRDefault="00A80B0D" w:rsidP="00A80B0D">
            <w:pPr>
              <w:pStyle w:val="3"/>
              <w:spacing w:before="0" w:beforeAutospacing="0" w:after="0" w:afterAutospacing="0" w:line="240" w:lineRule="auto"/>
              <w:ind w:firstLine="0"/>
              <w:rPr>
                <w:bCs/>
              </w:rPr>
            </w:pPr>
            <w:r w:rsidRPr="00C105B0">
              <w:rPr>
                <w:bCs/>
              </w:rPr>
              <w:t>Показатель размера резерва по ссудам и иным активам</w:t>
            </w:r>
          </w:p>
        </w:tc>
        <w:tc>
          <w:tcPr>
            <w:tcW w:w="1965" w:type="dxa"/>
          </w:tcPr>
          <w:p w14:paraId="4A6B1C52" w14:textId="77777777" w:rsidR="00A80B0D" w:rsidRPr="00C105B0" w:rsidRDefault="00A80B0D" w:rsidP="00A80B0D">
            <w:pPr>
              <w:pStyle w:val="3"/>
              <w:spacing w:before="0" w:beforeAutospacing="0" w:after="0" w:afterAutospacing="0" w:line="240" w:lineRule="auto"/>
              <w:rPr>
                <w:bCs/>
              </w:rPr>
            </w:pPr>
            <w:r w:rsidRPr="00C105B0">
              <w:rPr>
                <w:bCs/>
              </w:rPr>
              <w:t>6,72%</w:t>
            </w:r>
          </w:p>
        </w:tc>
        <w:tc>
          <w:tcPr>
            <w:tcW w:w="1966" w:type="dxa"/>
          </w:tcPr>
          <w:p w14:paraId="0A2A4165" w14:textId="77777777" w:rsidR="00A80B0D" w:rsidRPr="00C105B0" w:rsidRDefault="00A80B0D" w:rsidP="00A80B0D">
            <w:pPr>
              <w:pStyle w:val="3"/>
              <w:spacing w:before="0" w:beforeAutospacing="0" w:after="0" w:afterAutospacing="0" w:line="240" w:lineRule="auto"/>
              <w:rPr>
                <w:bCs/>
              </w:rPr>
            </w:pPr>
            <w:r w:rsidRPr="00C105B0">
              <w:rPr>
                <w:bCs/>
              </w:rPr>
              <w:t>7,17%</w:t>
            </w:r>
          </w:p>
        </w:tc>
        <w:tc>
          <w:tcPr>
            <w:tcW w:w="1966" w:type="dxa"/>
          </w:tcPr>
          <w:p w14:paraId="121B7DBC" w14:textId="77777777" w:rsidR="00A80B0D" w:rsidRPr="00C105B0" w:rsidRDefault="00A80B0D" w:rsidP="00A80B0D">
            <w:pPr>
              <w:pStyle w:val="3"/>
              <w:spacing w:before="0" w:beforeAutospacing="0" w:after="0" w:afterAutospacing="0" w:line="240" w:lineRule="auto"/>
              <w:rPr>
                <w:bCs/>
              </w:rPr>
            </w:pPr>
            <w:r w:rsidRPr="00C105B0">
              <w:rPr>
                <w:bCs/>
              </w:rPr>
              <w:t>7,05%</w:t>
            </w:r>
          </w:p>
        </w:tc>
      </w:tr>
      <w:tr w:rsidR="00A80B0D" w:rsidRPr="00C105B0" w14:paraId="21D90D3A" w14:textId="77777777" w:rsidTr="00D55A40">
        <w:trPr>
          <w:jc w:val="center"/>
        </w:trPr>
        <w:tc>
          <w:tcPr>
            <w:tcW w:w="3424" w:type="dxa"/>
          </w:tcPr>
          <w:p w14:paraId="52460B38" w14:textId="77777777" w:rsidR="00A80B0D" w:rsidRPr="00C105B0" w:rsidRDefault="00A80B0D" w:rsidP="00A80B0D">
            <w:pPr>
              <w:pStyle w:val="3"/>
              <w:spacing w:before="0" w:beforeAutospacing="0" w:after="0" w:afterAutospacing="0" w:line="240" w:lineRule="auto"/>
              <w:ind w:firstLine="0"/>
              <w:rPr>
                <w:bCs/>
              </w:rPr>
            </w:pPr>
            <w:r w:rsidRPr="00C105B0">
              <w:rPr>
                <w:bCs/>
              </w:rPr>
              <w:t>Ссудная задолженность</w:t>
            </w:r>
          </w:p>
        </w:tc>
        <w:tc>
          <w:tcPr>
            <w:tcW w:w="1965" w:type="dxa"/>
          </w:tcPr>
          <w:p w14:paraId="64294007"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17 216,6</w:t>
            </w:r>
          </w:p>
        </w:tc>
        <w:tc>
          <w:tcPr>
            <w:tcW w:w="1966" w:type="dxa"/>
          </w:tcPr>
          <w:p w14:paraId="1D8A40D6" w14:textId="77777777" w:rsidR="00A80B0D" w:rsidRPr="00C105B0" w:rsidRDefault="00A80B0D" w:rsidP="00A80B0D">
            <w:pPr>
              <w:pStyle w:val="3"/>
              <w:spacing w:before="0" w:beforeAutospacing="0" w:after="0" w:afterAutospacing="0" w:line="240" w:lineRule="auto"/>
              <w:rPr>
                <w:bCs/>
              </w:rPr>
            </w:pPr>
            <w:r w:rsidRPr="00C105B0">
              <w:rPr>
                <w:bCs/>
              </w:rPr>
              <w:t>18 539,6</w:t>
            </w:r>
          </w:p>
        </w:tc>
        <w:tc>
          <w:tcPr>
            <w:tcW w:w="1966" w:type="dxa"/>
          </w:tcPr>
          <w:p w14:paraId="5BE6019F"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21 122,2</w:t>
            </w:r>
          </w:p>
        </w:tc>
      </w:tr>
      <w:tr w:rsidR="00A80B0D" w:rsidRPr="00C105B0" w14:paraId="4BBB0373" w14:textId="77777777" w:rsidTr="00D55A40">
        <w:trPr>
          <w:jc w:val="center"/>
        </w:trPr>
        <w:tc>
          <w:tcPr>
            <w:tcW w:w="3424" w:type="dxa"/>
          </w:tcPr>
          <w:p w14:paraId="1EDD2318" w14:textId="77777777" w:rsidR="00A80B0D" w:rsidRPr="00C105B0" w:rsidRDefault="00A80B0D" w:rsidP="00A80B0D">
            <w:pPr>
              <w:pStyle w:val="3"/>
              <w:spacing w:before="0" w:beforeAutospacing="0" w:after="0" w:afterAutospacing="0" w:line="240" w:lineRule="auto"/>
              <w:ind w:firstLine="0"/>
              <w:rPr>
                <w:bCs/>
              </w:rPr>
            </w:pPr>
            <w:r w:rsidRPr="00C105B0">
              <w:rPr>
                <w:bCs/>
              </w:rPr>
              <w:t>Резерв на возможные потери по ссудам</w:t>
            </w:r>
          </w:p>
        </w:tc>
        <w:tc>
          <w:tcPr>
            <w:tcW w:w="1965" w:type="dxa"/>
          </w:tcPr>
          <w:p w14:paraId="24980BF7"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1 171,8</w:t>
            </w:r>
          </w:p>
        </w:tc>
        <w:tc>
          <w:tcPr>
            <w:tcW w:w="1966" w:type="dxa"/>
          </w:tcPr>
          <w:p w14:paraId="780FB7B4" w14:textId="77777777" w:rsidR="00A80B0D" w:rsidRPr="00C105B0" w:rsidRDefault="00A80B0D" w:rsidP="00A80B0D">
            <w:pPr>
              <w:pStyle w:val="3"/>
              <w:spacing w:before="0" w:beforeAutospacing="0" w:after="0" w:afterAutospacing="0" w:line="240" w:lineRule="auto"/>
              <w:rPr>
                <w:bCs/>
              </w:rPr>
            </w:pPr>
            <w:r w:rsidRPr="00C105B0">
              <w:rPr>
                <w:bCs/>
              </w:rPr>
              <w:t>1 316,2</w:t>
            </w:r>
          </w:p>
        </w:tc>
        <w:tc>
          <w:tcPr>
            <w:tcW w:w="1966" w:type="dxa"/>
          </w:tcPr>
          <w:p w14:paraId="0E075E58"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1 505,2</w:t>
            </w:r>
          </w:p>
        </w:tc>
      </w:tr>
    </w:tbl>
    <w:p w14:paraId="6080366E" w14:textId="77777777" w:rsidR="009F06FB" w:rsidRPr="00C105B0" w:rsidRDefault="009F06FB" w:rsidP="009F06FB">
      <w:pPr>
        <w:pStyle w:val="3"/>
        <w:spacing w:before="0" w:beforeAutospacing="0" w:after="0" w:afterAutospacing="0" w:line="240" w:lineRule="auto"/>
        <w:rPr>
          <w:bCs/>
        </w:rPr>
      </w:pPr>
      <w:r w:rsidRPr="00C105B0">
        <w:rPr>
          <w:bCs/>
        </w:rPr>
        <w:lastRenderedPageBreak/>
        <w:t>Ссудная задолженность в 2018 году увеличилась на 1 322,9 млн. рублей или на 7% по сравнению с 2017 годом. В 2019 году ссудная задолженность увеличилась на 2 582,6 млн</w:t>
      </w:r>
      <w:r>
        <w:rPr>
          <w:bCs/>
        </w:rPr>
        <w:t>.</w:t>
      </w:r>
      <w:r w:rsidRPr="00C105B0">
        <w:rPr>
          <w:bCs/>
        </w:rPr>
        <w:t xml:space="preserve"> руб</w:t>
      </w:r>
      <w:r>
        <w:rPr>
          <w:bCs/>
        </w:rPr>
        <w:t xml:space="preserve">. </w:t>
      </w:r>
      <w:r w:rsidRPr="00C105B0">
        <w:rPr>
          <w:bCs/>
        </w:rPr>
        <w:t>или на 14% по сравнению с 2018 годом.</w:t>
      </w:r>
    </w:p>
    <w:p w14:paraId="31B50A21" w14:textId="77777777" w:rsidR="009F06FB" w:rsidRPr="00C105B0" w:rsidRDefault="009F06FB" w:rsidP="009F06FB">
      <w:pPr>
        <w:pStyle w:val="3"/>
        <w:spacing w:before="0" w:beforeAutospacing="0" w:after="0" w:afterAutospacing="0" w:line="240" w:lineRule="auto"/>
        <w:rPr>
          <w:bCs/>
        </w:rPr>
      </w:pPr>
      <w:r w:rsidRPr="00C105B0">
        <w:rPr>
          <w:bCs/>
        </w:rPr>
        <w:t>Резерв на возможные потери по ссудам в 2018 году увеличился на 144 429 123 рубля или на 12%. В 2019 году резерв на возможные потери составил 1 505,2 млн. рублей, что 189 041 656 рублей или на 14% больше, чем в 2018 году.</w:t>
      </w:r>
    </w:p>
    <w:p w14:paraId="09526A9C" w14:textId="77777777" w:rsidR="009F06FB" w:rsidRDefault="00A80B0D" w:rsidP="00A80B0D">
      <w:pPr>
        <w:pStyle w:val="3"/>
        <w:spacing w:before="0" w:beforeAutospacing="0" w:after="0" w:afterAutospacing="0" w:line="240" w:lineRule="auto"/>
        <w:rPr>
          <w:bCs/>
        </w:rPr>
      </w:pPr>
      <w:r w:rsidRPr="00C105B0">
        <w:rPr>
          <w:bCs/>
        </w:rPr>
        <w:t xml:space="preserve">На основании данных представленных в таблице </w:t>
      </w:r>
      <w:r w:rsidR="00D55A40">
        <w:rPr>
          <w:bCs/>
        </w:rPr>
        <w:t>4</w:t>
      </w:r>
      <w:r w:rsidRPr="00C105B0">
        <w:rPr>
          <w:bCs/>
        </w:rPr>
        <w:t xml:space="preserve">, можно сделать  вывод, что </w:t>
      </w:r>
      <w:r w:rsidR="009F06FB">
        <w:rPr>
          <w:bCs/>
        </w:rPr>
        <w:t>в 2019 году</w:t>
      </w:r>
      <w:r w:rsidRPr="00C105B0">
        <w:rPr>
          <w:bCs/>
        </w:rPr>
        <w:t xml:space="preserve"> </w:t>
      </w:r>
      <w:r w:rsidR="002E4D49">
        <w:rPr>
          <w:bCs/>
        </w:rPr>
        <w:t>банк</w:t>
      </w:r>
      <w:r w:rsidRPr="00C105B0">
        <w:rPr>
          <w:bCs/>
        </w:rPr>
        <w:t xml:space="preserve"> улучшил показатель </w:t>
      </w:r>
      <w:r w:rsidR="009F06FB">
        <w:rPr>
          <w:bCs/>
        </w:rPr>
        <w:t xml:space="preserve">качества ссуд </w:t>
      </w:r>
      <w:r w:rsidRPr="00C105B0">
        <w:rPr>
          <w:bCs/>
        </w:rPr>
        <w:t>и ины</w:t>
      </w:r>
      <w:r w:rsidR="009F06FB">
        <w:rPr>
          <w:bCs/>
        </w:rPr>
        <w:t>х</w:t>
      </w:r>
      <w:r w:rsidRPr="00C105B0">
        <w:rPr>
          <w:bCs/>
        </w:rPr>
        <w:t xml:space="preserve"> актив</w:t>
      </w:r>
      <w:r w:rsidR="009F06FB">
        <w:rPr>
          <w:bCs/>
        </w:rPr>
        <w:t>ов</w:t>
      </w:r>
      <w:r w:rsidRPr="00C105B0">
        <w:rPr>
          <w:bCs/>
        </w:rPr>
        <w:t xml:space="preserve">, это обусловлено снижением доли просроченной задолженности.  </w:t>
      </w:r>
    </w:p>
    <w:p w14:paraId="39D09540" w14:textId="77777777" w:rsidR="00A80B0D" w:rsidRPr="00C105B0" w:rsidRDefault="00A80B0D" w:rsidP="00A80B0D">
      <w:pPr>
        <w:pStyle w:val="3"/>
        <w:spacing w:before="0" w:beforeAutospacing="0" w:after="0" w:afterAutospacing="0" w:line="240" w:lineRule="auto"/>
        <w:rPr>
          <w:bCs/>
        </w:rPr>
      </w:pPr>
      <w:r w:rsidRPr="00C105B0">
        <w:rPr>
          <w:bCs/>
        </w:rPr>
        <w:t>Далее рассмотрим з</w:t>
      </w:r>
      <w:r w:rsidR="009F06FB">
        <w:rPr>
          <w:bCs/>
        </w:rPr>
        <w:t xml:space="preserve">начения обязательных нормативов, характеризующих кредитный риск </w:t>
      </w:r>
      <w:r w:rsidRPr="00C105B0">
        <w:rPr>
          <w:bCs/>
        </w:rPr>
        <w:t>ПАО «Сбербанк</w:t>
      </w:r>
      <w:proofErr w:type="gramStart"/>
      <w:r w:rsidRPr="00C105B0">
        <w:rPr>
          <w:bCs/>
        </w:rPr>
        <w:t>».Значения</w:t>
      </w:r>
      <w:proofErr w:type="gramEnd"/>
      <w:r w:rsidRPr="00C105B0">
        <w:rPr>
          <w:bCs/>
        </w:rPr>
        <w:t xml:space="preserve"> обязательных нормативов, которые были взяты из публикуемой отчетности банка, представлены в таблице </w:t>
      </w:r>
      <w:r w:rsidR="00D55A40">
        <w:rPr>
          <w:bCs/>
        </w:rPr>
        <w:t>5</w:t>
      </w:r>
      <w:r w:rsidRPr="00C105B0">
        <w:rPr>
          <w:bCs/>
        </w:rPr>
        <w:t xml:space="preserve">. </w:t>
      </w:r>
    </w:p>
    <w:p w14:paraId="11FA8308" w14:textId="77777777" w:rsidR="00A80B0D" w:rsidRPr="00C105B0" w:rsidRDefault="00A80B0D" w:rsidP="00A80B0D">
      <w:pPr>
        <w:pStyle w:val="3"/>
        <w:spacing w:before="0" w:beforeAutospacing="0" w:after="0" w:afterAutospacing="0" w:line="240" w:lineRule="auto"/>
        <w:rPr>
          <w:bCs/>
        </w:rPr>
      </w:pPr>
      <w:r w:rsidRPr="00C105B0">
        <w:rPr>
          <w:bCs/>
        </w:rPr>
        <w:t xml:space="preserve">Таблица </w:t>
      </w:r>
      <w:r w:rsidR="00D55A40">
        <w:rPr>
          <w:bCs/>
        </w:rPr>
        <w:t>5</w:t>
      </w:r>
      <w:r w:rsidRPr="00C105B0">
        <w:rPr>
          <w:bCs/>
        </w:rPr>
        <w:t xml:space="preserve"> Сведения о обязательных нормативах по кредитам ПАО «Сбербанк» за 2017-2019гг. %</w:t>
      </w:r>
      <w:r w:rsidR="00613041">
        <w:rPr>
          <w:bCs/>
        </w:rPr>
        <w:t xml:space="preserve"> </w:t>
      </w:r>
      <w:r w:rsidR="00613041">
        <w:t>[9,10]</w:t>
      </w:r>
    </w:p>
    <w:tbl>
      <w:tblPr>
        <w:tblStyle w:val="a7"/>
        <w:tblW w:w="0" w:type="auto"/>
        <w:jc w:val="center"/>
        <w:tblLook w:val="04A0" w:firstRow="1" w:lastRow="0" w:firstColumn="1" w:lastColumn="0" w:noHBand="0" w:noVBand="1"/>
      </w:tblPr>
      <w:tblGrid>
        <w:gridCol w:w="4805"/>
        <w:gridCol w:w="1421"/>
        <w:gridCol w:w="1417"/>
        <w:gridCol w:w="1417"/>
      </w:tblGrid>
      <w:tr w:rsidR="00A80B0D" w:rsidRPr="00C105B0" w14:paraId="4FF5901A" w14:textId="77777777" w:rsidTr="00D55A40">
        <w:trPr>
          <w:jc w:val="center"/>
        </w:trPr>
        <w:tc>
          <w:tcPr>
            <w:tcW w:w="5103" w:type="dxa"/>
          </w:tcPr>
          <w:p w14:paraId="52818805" w14:textId="77777777" w:rsidR="00A80B0D" w:rsidRPr="00C105B0" w:rsidRDefault="00A80B0D" w:rsidP="00A80B0D">
            <w:pPr>
              <w:pStyle w:val="3"/>
              <w:spacing w:before="0" w:beforeAutospacing="0" w:after="0" w:afterAutospacing="0" w:line="240" w:lineRule="auto"/>
              <w:ind w:firstLine="0"/>
              <w:rPr>
                <w:bCs/>
              </w:rPr>
            </w:pPr>
            <w:r w:rsidRPr="00C105B0">
              <w:rPr>
                <w:bCs/>
              </w:rPr>
              <w:t xml:space="preserve">Показатель </w:t>
            </w:r>
          </w:p>
        </w:tc>
        <w:tc>
          <w:tcPr>
            <w:tcW w:w="1464" w:type="dxa"/>
          </w:tcPr>
          <w:p w14:paraId="4E4C17E9"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2017</w:t>
            </w:r>
          </w:p>
        </w:tc>
        <w:tc>
          <w:tcPr>
            <w:tcW w:w="1465" w:type="dxa"/>
          </w:tcPr>
          <w:p w14:paraId="583E154B"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2018</w:t>
            </w:r>
          </w:p>
        </w:tc>
        <w:tc>
          <w:tcPr>
            <w:tcW w:w="1465" w:type="dxa"/>
          </w:tcPr>
          <w:p w14:paraId="60C3BB4E"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2019</w:t>
            </w:r>
          </w:p>
        </w:tc>
      </w:tr>
      <w:tr w:rsidR="00A80B0D" w:rsidRPr="00C105B0" w14:paraId="7C71E8C6" w14:textId="77777777" w:rsidTr="00D55A40">
        <w:trPr>
          <w:jc w:val="center"/>
        </w:trPr>
        <w:tc>
          <w:tcPr>
            <w:tcW w:w="5103" w:type="dxa"/>
          </w:tcPr>
          <w:p w14:paraId="1AA61D73" w14:textId="77777777" w:rsidR="00A80B0D" w:rsidRPr="00C105B0" w:rsidRDefault="00A80B0D" w:rsidP="00A80B0D">
            <w:pPr>
              <w:pStyle w:val="3"/>
              <w:spacing w:before="0" w:beforeAutospacing="0" w:after="0" w:afterAutospacing="0" w:line="240" w:lineRule="auto"/>
              <w:ind w:firstLine="0"/>
              <w:rPr>
                <w:bCs/>
              </w:rPr>
            </w:pPr>
            <w:r w:rsidRPr="00C105B0">
              <w:rPr>
                <w:bCs/>
              </w:rPr>
              <w:t xml:space="preserve">Н7 – норматив максимального размера крупных кредитных рисков, </w:t>
            </w:r>
            <w:r w:rsidRPr="00C105B0">
              <w:rPr>
                <w:bCs/>
                <w:lang w:val="en-US"/>
              </w:rPr>
              <w:t>max</w:t>
            </w:r>
            <w:r w:rsidRPr="00C105B0">
              <w:rPr>
                <w:bCs/>
              </w:rPr>
              <w:t xml:space="preserve"> 800%</w:t>
            </w:r>
          </w:p>
        </w:tc>
        <w:tc>
          <w:tcPr>
            <w:tcW w:w="1464" w:type="dxa"/>
          </w:tcPr>
          <w:p w14:paraId="71C47CBF"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114,85</w:t>
            </w:r>
          </w:p>
        </w:tc>
        <w:tc>
          <w:tcPr>
            <w:tcW w:w="1465" w:type="dxa"/>
          </w:tcPr>
          <w:p w14:paraId="19F29F87"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111,00</w:t>
            </w:r>
          </w:p>
        </w:tc>
        <w:tc>
          <w:tcPr>
            <w:tcW w:w="1465" w:type="dxa"/>
          </w:tcPr>
          <w:p w14:paraId="0BDEC681" w14:textId="77777777" w:rsidR="00A80B0D" w:rsidRPr="00C105B0" w:rsidRDefault="00A80B0D" w:rsidP="00A80B0D">
            <w:pPr>
              <w:pStyle w:val="3"/>
              <w:spacing w:before="0" w:beforeAutospacing="0" w:after="0" w:afterAutospacing="0" w:line="240" w:lineRule="auto"/>
              <w:ind w:firstLine="0"/>
              <w:jc w:val="center"/>
              <w:rPr>
                <w:bCs/>
              </w:rPr>
            </w:pPr>
            <w:r w:rsidRPr="00C105B0">
              <w:rPr>
                <w:bCs/>
              </w:rPr>
              <w:t>76,65</w:t>
            </w:r>
          </w:p>
        </w:tc>
      </w:tr>
      <w:tr w:rsidR="00A80B0D" w:rsidRPr="00C105B0" w14:paraId="1CE5E9B0" w14:textId="77777777" w:rsidTr="00D55A40">
        <w:trPr>
          <w:jc w:val="center"/>
        </w:trPr>
        <w:tc>
          <w:tcPr>
            <w:tcW w:w="5103" w:type="dxa"/>
          </w:tcPr>
          <w:p w14:paraId="38FBF0B0" w14:textId="77777777" w:rsidR="00A80B0D" w:rsidRPr="00C105B0" w:rsidRDefault="00A80B0D" w:rsidP="00A80B0D">
            <w:pPr>
              <w:pStyle w:val="3"/>
              <w:spacing w:before="0" w:beforeAutospacing="0" w:after="0" w:afterAutospacing="0" w:line="240" w:lineRule="auto"/>
              <w:ind w:firstLine="0"/>
              <w:rPr>
                <w:bCs/>
              </w:rPr>
            </w:pPr>
            <w:r w:rsidRPr="00C105B0">
              <w:rPr>
                <w:bCs/>
              </w:rPr>
              <w:t xml:space="preserve">Н9.1 – максимальный размер кредитов, банковских гарантий и поручительств, предоставленных банком своим участникам (акционерам), </w:t>
            </w:r>
            <w:r w:rsidRPr="00C105B0">
              <w:rPr>
                <w:bCs/>
                <w:lang w:val="en-US"/>
              </w:rPr>
              <w:t>max</w:t>
            </w:r>
            <w:r w:rsidRPr="00C105B0">
              <w:rPr>
                <w:bCs/>
              </w:rPr>
              <w:t xml:space="preserve"> 50%</w:t>
            </w:r>
          </w:p>
        </w:tc>
        <w:tc>
          <w:tcPr>
            <w:tcW w:w="1464" w:type="dxa"/>
          </w:tcPr>
          <w:p w14:paraId="344D540C" w14:textId="77777777" w:rsidR="00A80B0D" w:rsidRPr="00C105B0" w:rsidRDefault="00A80B0D" w:rsidP="00A80B0D">
            <w:pPr>
              <w:pStyle w:val="3"/>
              <w:spacing w:before="0" w:beforeAutospacing="0" w:after="0" w:afterAutospacing="0" w:line="240" w:lineRule="auto"/>
              <w:rPr>
                <w:bCs/>
              </w:rPr>
            </w:pPr>
            <w:r w:rsidRPr="00C105B0">
              <w:rPr>
                <w:bCs/>
              </w:rPr>
              <w:t>0</w:t>
            </w:r>
          </w:p>
        </w:tc>
        <w:tc>
          <w:tcPr>
            <w:tcW w:w="1465" w:type="dxa"/>
          </w:tcPr>
          <w:p w14:paraId="159E2E79" w14:textId="77777777" w:rsidR="00A80B0D" w:rsidRPr="00C105B0" w:rsidRDefault="00A80B0D" w:rsidP="00A80B0D">
            <w:pPr>
              <w:pStyle w:val="3"/>
              <w:spacing w:before="0" w:beforeAutospacing="0" w:after="0" w:afterAutospacing="0" w:line="240" w:lineRule="auto"/>
              <w:rPr>
                <w:bCs/>
              </w:rPr>
            </w:pPr>
            <w:r w:rsidRPr="00C105B0">
              <w:rPr>
                <w:bCs/>
              </w:rPr>
              <w:t>-</w:t>
            </w:r>
          </w:p>
        </w:tc>
        <w:tc>
          <w:tcPr>
            <w:tcW w:w="1465" w:type="dxa"/>
          </w:tcPr>
          <w:p w14:paraId="706990D3" w14:textId="77777777" w:rsidR="00A80B0D" w:rsidRPr="00C105B0" w:rsidRDefault="00A80B0D" w:rsidP="00A80B0D">
            <w:pPr>
              <w:pStyle w:val="3"/>
              <w:spacing w:before="0" w:beforeAutospacing="0" w:after="0" w:afterAutospacing="0" w:line="240" w:lineRule="auto"/>
              <w:rPr>
                <w:bCs/>
              </w:rPr>
            </w:pPr>
            <w:r w:rsidRPr="00C105B0">
              <w:rPr>
                <w:bCs/>
              </w:rPr>
              <w:t>-</w:t>
            </w:r>
          </w:p>
        </w:tc>
      </w:tr>
    </w:tbl>
    <w:p w14:paraId="3B42C24E" w14:textId="77777777" w:rsidR="00A80B0D" w:rsidRPr="00C105B0" w:rsidRDefault="00A80B0D" w:rsidP="00A80B0D">
      <w:pPr>
        <w:pStyle w:val="3"/>
        <w:spacing w:before="0" w:beforeAutospacing="0" w:after="0" w:afterAutospacing="0" w:line="240" w:lineRule="auto"/>
        <w:rPr>
          <w:bCs/>
        </w:rPr>
      </w:pPr>
      <w:r w:rsidRPr="00C105B0">
        <w:rPr>
          <w:bCs/>
        </w:rPr>
        <w:t>Норматив максимального размера крупных кредитных рисков (Н7) регулирует (ограничивает) совокупную величину крупных кредитных рисков банка и определяет максимальное отношение совокупной величины крупных кредитных рисков и размера собственных средств (капитала) банка. Его нормативное значение - менее 800%. За 2017 год этот показатель равен 114,85%, что говорит о достаточно хорошем положении Банка в данном отношении. В 2018 году этот показатель снизился на 3,85%. В 2019 году этот показатель составил всего 76,65%.</w:t>
      </w:r>
    </w:p>
    <w:p w14:paraId="0B24FB1D" w14:textId="77777777" w:rsidR="00A80B0D" w:rsidRPr="00C105B0" w:rsidRDefault="00A80B0D" w:rsidP="00A80B0D">
      <w:pPr>
        <w:pStyle w:val="3"/>
        <w:spacing w:before="0" w:beforeAutospacing="0" w:after="0" w:afterAutospacing="0" w:line="240" w:lineRule="auto"/>
        <w:rPr>
          <w:bCs/>
        </w:rPr>
      </w:pPr>
      <w:r w:rsidRPr="00285F88">
        <w:rPr>
          <w:bCs/>
        </w:rPr>
        <w:t>Норматив максимального размера кредитов, банковских гарантий и поручительств, предоставленных банком своим участникам (акционерам) (Н9.1), устанавливает ограничение кредитного риска банка в отношении участников (акционеров) банка,</w:t>
      </w:r>
      <w:r>
        <w:rPr>
          <w:bCs/>
        </w:rPr>
        <w:t xml:space="preserve"> </w:t>
      </w:r>
      <w:r w:rsidRPr="00285F88">
        <w:rPr>
          <w:bCs/>
        </w:rPr>
        <w:t>определяется как отношение размера кредитов, банковских гарантий и поручительств, предоставленных банком своим участникам (акционерам) к собственным средствам (капиталу) банка.</w:t>
      </w:r>
      <w:r>
        <w:rPr>
          <w:bCs/>
        </w:rPr>
        <w:t xml:space="preserve"> </w:t>
      </w:r>
      <w:r w:rsidRPr="00285F88">
        <w:rPr>
          <w:bCs/>
        </w:rPr>
        <w:t>Нормативное значение - менее 50%. В данном случае этот показатель равен 0%.</w:t>
      </w:r>
    </w:p>
    <w:p w14:paraId="24C233AB" w14:textId="77777777" w:rsidR="002E4D49" w:rsidRPr="00C105B0" w:rsidRDefault="002E4D49" w:rsidP="002E4D49">
      <w:pPr>
        <w:pStyle w:val="3"/>
        <w:spacing w:before="0" w:beforeAutospacing="0" w:after="0" w:afterAutospacing="0" w:line="240" w:lineRule="auto"/>
      </w:pPr>
      <w:r w:rsidRPr="00C105B0">
        <w:lastRenderedPageBreak/>
        <w:t>На основании проведенного анализа в целом можно сделать следующие выводы:</w:t>
      </w:r>
    </w:p>
    <w:p w14:paraId="4945006F" w14:textId="77777777" w:rsidR="002E4D49" w:rsidRPr="00C105B0" w:rsidRDefault="002E4D49" w:rsidP="002E4D49">
      <w:pPr>
        <w:pStyle w:val="3"/>
        <w:spacing w:before="0" w:beforeAutospacing="0" w:after="0" w:afterAutospacing="0" w:line="240" w:lineRule="auto"/>
      </w:pPr>
      <w:r w:rsidRPr="00C105B0">
        <w:t>- уровень качества кредитного портфеля достаточно высок, большая часть кредитов относится к первой и второй категориям качества, однако в банке наличествуют также кредиты с низкими категориями качества, в т.ч. самой низкой – пятой категории, что относится ко всем категориям заемщиков;</w:t>
      </w:r>
    </w:p>
    <w:p w14:paraId="772E8FF1" w14:textId="77777777" w:rsidR="002E4D49" w:rsidRPr="00C105B0" w:rsidRDefault="002E4D49" w:rsidP="002E4D49">
      <w:pPr>
        <w:pStyle w:val="3"/>
        <w:spacing w:before="0" w:beforeAutospacing="0" w:after="0" w:afterAutospacing="0" w:line="240" w:lineRule="auto"/>
      </w:pPr>
      <w:r w:rsidRPr="00C105B0">
        <w:t>- уровень просроченной задолженности немного превышает 2% от совокупного кредитного портфеля, просматривается определенная тенденция к его снижению.</w:t>
      </w:r>
    </w:p>
    <w:p w14:paraId="505506C9" w14:textId="77777777" w:rsidR="00253F29" w:rsidRDefault="009F06FB" w:rsidP="00DA1B15">
      <w:pPr>
        <w:spacing w:after="0" w:line="240" w:lineRule="auto"/>
        <w:ind w:firstLine="567"/>
        <w:contextualSpacing/>
        <w:jc w:val="both"/>
      </w:pPr>
      <w:r>
        <w:t>К сожалению, к моменту проведения исследования необходимые сведения о кредитном портфеле и кредитном риске ПАО «Сбербанк» не были публично обнародованы. Но можно сказать, что 2020год принес фина</w:t>
      </w:r>
      <w:r w:rsidR="00BA79F4">
        <w:t>н</w:t>
      </w:r>
      <w:r>
        <w:t xml:space="preserve">совые трудности многим юридическим и физическим лицам </w:t>
      </w:r>
      <w:r w:rsidR="00BA79F4">
        <w:t xml:space="preserve">– </w:t>
      </w:r>
      <w:r>
        <w:t>отрази</w:t>
      </w:r>
      <w:r w:rsidR="00BA79F4">
        <w:t>вшись на их платежеспособности. Банку необходимо всегда быть готовым к таким непредвиденным ситуациям и вовремя принимать необходимые меры по регулированию кредитного риска.</w:t>
      </w:r>
      <w:r>
        <w:t xml:space="preserve"> Р</w:t>
      </w:r>
      <w:r w:rsidR="00C91E99" w:rsidRPr="00843687">
        <w:t>егу</w:t>
      </w:r>
      <w:r w:rsidR="00843687">
        <w:t xml:space="preserve">лирование </w:t>
      </w:r>
      <w:r>
        <w:t xml:space="preserve">риска </w:t>
      </w:r>
      <w:r w:rsidR="00843687">
        <w:t>осуществляется на всех этапах</w:t>
      </w:r>
      <w:r w:rsidR="00C91E99" w:rsidRPr="00843687">
        <w:t xml:space="preserve"> кредитования, начиная от первичного рассмотрения заявки и заканчивая полным погашением кредитно</w:t>
      </w:r>
      <w:r w:rsidR="00843687">
        <w:t>й задолженности. В связи с этим выделяют методы управление кредитным риском:</w:t>
      </w:r>
    </w:p>
    <w:p w14:paraId="68F23F22" w14:textId="77777777" w:rsidR="00843687" w:rsidRPr="00843687" w:rsidRDefault="00843687" w:rsidP="00DA1B15">
      <w:pPr>
        <w:spacing w:after="0" w:line="240" w:lineRule="auto"/>
        <w:ind w:firstLine="567"/>
        <w:contextualSpacing/>
        <w:jc w:val="both"/>
      </w:pPr>
      <w:r>
        <w:t xml:space="preserve">Таблица </w:t>
      </w:r>
      <w:r w:rsidR="00340FE0">
        <w:t>4</w:t>
      </w:r>
      <w:r>
        <w:t xml:space="preserve"> Методы управления кредитным риском</w:t>
      </w:r>
      <w:r w:rsidR="006174C5">
        <w:t xml:space="preserve"> [1]</w:t>
      </w:r>
    </w:p>
    <w:tbl>
      <w:tblPr>
        <w:tblStyle w:val="a7"/>
        <w:tblW w:w="9101" w:type="dxa"/>
        <w:jc w:val="center"/>
        <w:tblLook w:val="04A0" w:firstRow="1" w:lastRow="0" w:firstColumn="1" w:lastColumn="0" w:noHBand="0" w:noVBand="1"/>
      </w:tblPr>
      <w:tblGrid>
        <w:gridCol w:w="2580"/>
        <w:gridCol w:w="6521"/>
      </w:tblGrid>
      <w:tr w:rsidR="00843687" w:rsidRPr="00340FE0" w14:paraId="152D5F99" w14:textId="77777777" w:rsidTr="00D55A40">
        <w:trPr>
          <w:jc w:val="center"/>
        </w:trPr>
        <w:tc>
          <w:tcPr>
            <w:tcW w:w="2580" w:type="dxa"/>
          </w:tcPr>
          <w:p w14:paraId="306CEDB2" w14:textId="77777777" w:rsidR="00843687" w:rsidRPr="00340FE0" w:rsidRDefault="00843687" w:rsidP="001F6C14">
            <w:pPr>
              <w:jc w:val="both"/>
            </w:pPr>
            <w:r w:rsidRPr="00340FE0">
              <w:t>Дифференциация заемщиков</w:t>
            </w:r>
          </w:p>
        </w:tc>
        <w:tc>
          <w:tcPr>
            <w:tcW w:w="6521" w:type="dxa"/>
          </w:tcPr>
          <w:p w14:paraId="5DE7802E" w14:textId="77777777" w:rsidR="00843687" w:rsidRPr="00340FE0" w:rsidRDefault="00843687" w:rsidP="00340FE0">
            <w:pPr>
              <w:tabs>
                <w:tab w:val="left" w:pos="6720"/>
              </w:tabs>
              <w:jc w:val="both"/>
            </w:pPr>
            <w:r w:rsidRPr="00340FE0">
              <w:t>Оценка кредитоспособности заемщика, определение условий ссуды, исходя из оценки</w:t>
            </w:r>
          </w:p>
        </w:tc>
      </w:tr>
      <w:tr w:rsidR="00843687" w:rsidRPr="00340FE0" w14:paraId="719AC5C5" w14:textId="77777777" w:rsidTr="00D55A40">
        <w:trPr>
          <w:jc w:val="center"/>
        </w:trPr>
        <w:tc>
          <w:tcPr>
            <w:tcW w:w="2580" w:type="dxa"/>
          </w:tcPr>
          <w:p w14:paraId="08B91FDE" w14:textId="77777777" w:rsidR="00843687" w:rsidRPr="00340FE0" w:rsidRDefault="00843687" w:rsidP="001F6C14">
            <w:pPr>
              <w:jc w:val="both"/>
            </w:pPr>
            <w:r w:rsidRPr="00340FE0">
              <w:t>Диверсификация кредитных вложений</w:t>
            </w:r>
          </w:p>
        </w:tc>
        <w:tc>
          <w:tcPr>
            <w:tcW w:w="6521" w:type="dxa"/>
          </w:tcPr>
          <w:p w14:paraId="41082C5D" w14:textId="77777777" w:rsidR="00843687" w:rsidRPr="00340FE0" w:rsidRDefault="00843687" w:rsidP="001F6C14">
            <w:pPr>
              <w:jc w:val="both"/>
            </w:pPr>
            <w:r w:rsidRPr="00340FE0">
              <w:t xml:space="preserve">Применение разных объектов кредитования, создание филиалов для борьбы с территориальным и отраслевым риском </w:t>
            </w:r>
          </w:p>
        </w:tc>
      </w:tr>
      <w:tr w:rsidR="00843687" w:rsidRPr="00340FE0" w14:paraId="3652EFF2" w14:textId="77777777" w:rsidTr="00D55A40">
        <w:trPr>
          <w:jc w:val="center"/>
        </w:trPr>
        <w:tc>
          <w:tcPr>
            <w:tcW w:w="2580" w:type="dxa"/>
          </w:tcPr>
          <w:p w14:paraId="59A21C89" w14:textId="77777777" w:rsidR="00843687" w:rsidRPr="00340FE0" w:rsidRDefault="00843687" w:rsidP="001F6C14">
            <w:pPr>
              <w:jc w:val="both"/>
            </w:pPr>
            <w:r w:rsidRPr="00340FE0">
              <w:t>Лимитирование рисков</w:t>
            </w:r>
          </w:p>
        </w:tc>
        <w:tc>
          <w:tcPr>
            <w:tcW w:w="6521" w:type="dxa"/>
          </w:tcPr>
          <w:p w14:paraId="3B2DAB48" w14:textId="77777777" w:rsidR="00DF0BEA" w:rsidRPr="00340FE0" w:rsidRDefault="00843687" w:rsidP="001F6C14">
            <w:pPr>
              <w:jc w:val="both"/>
            </w:pPr>
            <w:r w:rsidRPr="00340FE0">
              <w:t xml:space="preserve">Применение лимитов объёма крупных </w:t>
            </w:r>
            <w:r w:rsidR="00DF0BEA" w:rsidRPr="00340FE0">
              <w:t>вложений, приходящихся на единицу собственных средств банка</w:t>
            </w:r>
          </w:p>
          <w:p w14:paraId="6210B821" w14:textId="77777777" w:rsidR="00DF0BEA" w:rsidRPr="00340FE0" w:rsidRDefault="00DF0BEA" w:rsidP="001F6C14">
            <w:pPr>
              <w:jc w:val="both"/>
            </w:pPr>
            <w:r w:rsidRPr="00340FE0">
              <w:t>Лимитирование объёмов кредитования одним заемщиком</w:t>
            </w:r>
          </w:p>
          <w:p w14:paraId="3674B510" w14:textId="77777777" w:rsidR="00843687" w:rsidRPr="00340FE0" w:rsidRDefault="00DF0BEA" w:rsidP="001F6C14">
            <w:pPr>
              <w:jc w:val="both"/>
            </w:pPr>
            <w:r w:rsidRPr="00340FE0">
              <w:t>Лимитирование объёмов кредитования для крупных заемщиков</w:t>
            </w:r>
          </w:p>
        </w:tc>
      </w:tr>
      <w:tr w:rsidR="00843687" w:rsidRPr="00340FE0" w14:paraId="3C79D9A5" w14:textId="77777777" w:rsidTr="00D55A40">
        <w:trPr>
          <w:jc w:val="center"/>
        </w:trPr>
        <w:tc>
          <w:tcPr>
            <w:tcW w:w="2580" w:type="dxa"/>
          </w:tcPr>
          <w:p w14:paraId="26CBD52E" w14:textId="77777777" w:rsidR="00843687" w:rsidRPr="00340FE0" w:rsidRDefault="00DF0BEA" w:rsidP="001F6C14">
            <w:pPr>
              <w:jc w:val="both"/>
            </w:pPr>
            <w:r w:rsidRPr="00340FE0">
              <w:t>Хеджирование рисков</w:t>
            </w:r>
          </w:p>
        </w:tc>
        <w:tc>
          <w:tcPr>
            <w:tcW w:w="6521" w:type="dxa"/>
          </w:tcPr>
          <w:p w14:paraId="74BE1D60" w14:textId="77777777" w:rsidR="00843687" w:rsidRPr="00340FE0" w:rsidRDefault="00340FE0" w:rsidP="001F6C14">
            <w:pPr>
              <w:jc w:val="both"/>
            </w:pPr>
            <w:r>
              <w:t>Проведение операций с</w:t>
            </w:r>
            <w:r w:rsidR="00DF0BEA" w:rsidRPr="00340FE0">
              <w:t xml:space="preserve"> кредитными деривативами</w:t>
            </w:r>
          </w:p>
        </w:tc>
      </w:tr>
      <w:tr w:rsidR="00843687" w:rsidRPr="00340FE0" w14:paraId="0C6BD001" w14:textId="77777777" w:rsidTr="00D55A40">
        <w:trPr>
          <w:jc w:val="center"/>
        </w:trPr>
        <w:tc>
          <w:tcPr>
            <w:tcW w:w="2580" w:type="dxa"/>
          </w:tcPr>
          <w:p w14:paraId="299F6CD4" w14:textId="77777777" w:rsidR="00843687" w:rsidRPr="00340FE0" w:rsidRDefault="00DF0BEA" w:rsidP="001F6C14">
            <w:pPr>
              <w:jc w:val="both"/>
            </w:pPr>
            <w:r w:rsidRPr="00340FE0">
              <w:t>Деление рисков</w:t>
            </w:r>
          </w:p>
        </w:tc>
        <w:tc>
          <w:tcPr>
            <w:tcW w:w="6521" w:type="dxa"/>
          </w:tcPr>
          <w:p w14:paraId="641ECB58" w14:textId="77777777" w:rsidR="00843687" w:rsidRPr="00340FE0" w:rsidRDefault="00DF0BEA" w:rsidP="001F6C14">
            <w:pPr>
              <w:jc w:val="both"/>
            </w:pPr>
            <w:r w:rsidRPr="00340FE0">
              <w:t>Сотрудничество с другими банками по кредитование совместных проектов</w:t>
            </w:r>
          </w:p>
        </w:tc>
      </w:tr>
    </w:tbl>
    <w:p w14:paraId="1F177275" w14:textId="77777777" w:rsidR="003C6C63" w:rsidRDefault="00BA79F4" w:rsidP="00DA1B15">
      <w:pPr>
        <w:spacing w:after="0" w:line="240" w:lineRule="auto"/>
        <w:ind w:firstLine="567"/>
        <w:contextualSpacing/>
        <w:jc w:val="both"/>
      </w:pPr>
      <w:bookmarkStart w:id="2" w:name="_Hlk43035727"/>
      <w:r>
        <w:t xml:space="preserve">Дифференциация – </w:t>
      </w:r>
      <w:r w:rsidR="003C6C63">
        <w:t>это</w:t>
      </w:r>
      <w:r>
        <w:t xml:space="preserve"> </w:t>
      </w:r>
      <w:r w:rsidR="003C6C63">
        <w:t xml:space="preserve">основной принцип кредитования, который вместе со срочностью возврата, платностью и обеспеченностью творит основу кредитной системы. </w:t>
      </w:r>
      <w:r>
        <w:t>Такой подход предполагает</w:t>
      </w:r>
      <w:r w:rsidR="003C6C63">
        <w:t>, что банком удовлетворяется не все заявки</w:t>
      </w:r>
      <w:r>
        <w:t xml:space="preserve"> на кредит.</w:t>
      </w:r>
      <w:r w:rsidR="003C6C63">
        <w:t xml:space="preserve"> </w:t>
      </w:r>
      <w:r>
        <w:t>В данном случае баку возможно</w:t>
      </w:r>
      <w:r w:rsidR="003C6C63">
        <w:t xml:space="preserve"> </w:t>
      </w:r>
      <w:r>
        <w:t>поменять</w:t>
      </w:r>
      <w:r w:rsidR="003C6C63">
        <w:t xml:space="preserve"> узкий круг проверенных и постоянных клиентов, с которыми он </w:t>
      </w:r>
      <w:r w:rsidR="003C6C63">
        <w:lastRenderedPageBreak/>
        <w:t xml:space="preserve">и работает. Или же банк может работать с определенными </w:t>
      </w:r>
      <w:r>
        <w:t>заемщиками</w:t>
      </w:r>
      <w:r w:rsidR="003C6C63">
        <w:t xml:space="preserve">, деятельность которых относится к той или иной отрасли. </w:t>
      </w:r>
      <w:r w:rsidR="006174C5">
        <w:t>[9]</w:t>
      </w:r>
    </w:p>
    <w:p w14:paraId="618EBFE7" w14:textId="77777777" w:rsidR="003C6C63" w:rsidRDefault="003C6C63" w:rsidP="00DA1B15">
      <w:pPr>
        <w:spacing w:after="0" w:line="240" w:lineRule="auto"/>
        <w:ind w:firstLine="567"/>
        <w:contextualSpacing/>
        <w:jc w:val="both"/>
      </w:pPr>
      <w:r>
        <w:t xml:space="preserve">Метод диверсификации кредитных вложений </w:t>
      </w:r>
      <w:r w:rsidR="00476788">
        <w:t xml:space="preserve">применяется по отношению к кредитному портфелю в целом на основе тех данных, которые получены в завершении анализа каждой кредитной сделки. </w:t>
      </w:r>
      <w:r w:rsidR="00BA79F4">
        <w:t>Это</w:t>
      </w:r>
      <w:r w:rsidR="00476788">
        <w:t xml:space="preserve"> позволяет сократить риски, которые связаны с неплатежеспособностью некоторых </w:t>
      </w:r>
      <w:r w:rsidR="00BA79F4">
        <w:t>заемщиков</w:t>
      </w:r>
      <w:r w:rsidR="00476788">
        <w:t xml:space="preserve"> в отдельности, определенным группам или же особым экономическим положениям в определенных регионах страны. Кредитный риск </w:t>
      </w:r>
      <w:r w:rsidR="00BA79F4">
        <w:t>в таком случае</w:t>
      </w:r>
      <w:r w:rsidR="00613041">
        <w:t>,</w:t>
      </w:r>
      <w:r w:rsidR="00476788">
        <w:t xml:space="preserve"> </w:t>
      </w:r>
      <w:r w:rsidR="00BA79F4">
        <w:t>возможно снизить</w:t>
      </w:r>
      <w:r w:rsidR="00476788">
        <w:t xml:space="preserve"> за счет компенсации одних рисков другими.</w:t>
      </w:r>
      <w:r w:rsidR="006174C5">
        <w:t xml:space="preserve"> [6]</w:t>
      </w:r>
    </w:p>
    <w:p w14:paraId="3C64F31C" w14:textId="77777777" w:rsidR="00476788" w:rsidRDefault="00476788" w:rsidP="00DA1B15">
      <w:pPr>
        <w:spacing w:after="0" w:line="240" w:lineRule="auto"/>
        <w:ind w:firstLine="567"/>
        <w:contextualSpacing/>
        <w:jc w:val="both"/>
      </w:pPr>
      <w:r>
        <w:t>Метод лимитирования рисков применяется только в том случае, когда банк не может взять на себя те или иные риски. Банк в таком случае анализирует целесообразность каждой сделки и отказывается лишь от тех, в которых риск выше установленного лимита.</w:t>
      </w:r>
      <w:r w:rsidR="00CF41F7">
        <w:t xml:space="preserve"> Также в данном методе устанавливаются лимиты по размерам кредитования определенного контрагента, региона или отрасли.</w:t>
      </w:r>
    </w:p>
    <w:p w14:paraId="07CF4C1F" w14:textId="77777777" w:rsidR="00CF41F7" w:rsidRDefault="00BA79F4" w:rsidP="00DA1B15">
      <w:pPr>
        <w:spacing w:after="0" w:line="240" w:lineRule="auto"/>
        <w:ind w:firstLine="567"/>
        <w:contextualSpacing/>
        <w:jc w:val="both"/>
      </w:pPr>
      <w:r>
        <w:t>Также можно применить х</w:t>
      </w:r>
      <w:r w:rsidR="00CF41F7">
        <w:t>еджирование</w:t>
      </w:r>
      <w:r>
        <w:t>, которое</w:t>
      </w:r>
      <w:r w:rsidR="00CF41F7">
        <w:t xml:space="preserve"> осуществляется </w:t>
      </w:r>
      <w:r w:rsidR="0074590F">
        <w:t>путем осуществления забалансовых операций с применением финансовых инструментов (к примеру, кредитный своп)</w:t>
      </w:r>
      <w:r w:rsidR="0082776D">
        <w:t>.</w:t>
      </w:r>
      <w:r w:rsidR="006174C5">
        <w:t xml:space="preserve"> [5]</w:t>
      </w:r>
    </w:p>
    <w:p w14:paraId="36A7F7A9" w14:textId="77777777" w:rsidR="00107456" w:rsidRDefault="0082776D" w:rsidP="00DA1B15">
      <w:pPr>
        <w:spacing w:after="0" w:line="240" w:lineRule="auto"/>
        <w:ind w:firstLine="567"/>
        <w:contextualSpacing/>
        <w:jc w:val="both"/>
      </w:pPr>
      <w:r>
        <w:t xml:space="preserve">Метод деления рисков </w:t>
      </w:r>
      <w:r w:rsidR="00BA79F4">
        <w:t xml:space="preserve">предполагает </w:t>
      </w:r>
      <w:r>
        <w:t>совместное участие нескольких кредитных учреждений в одном проекте. В таком случае</w:t>
      </w:r>
      <w:r w:rsidR="00125622">
        <w:t xml:space="preserve"> речь идет только о крупных вложениях, поэтому один банк не в состоянии взять на себя все обязательства по сумме кредитного договора. Этот метод используется только в случае доверительных отношений между банковскими контрагентами. Договорные отношения, которые подразумевают участие трех и более контрагентов, несут в себе дополнительные кредитные риски. Поэтому метод деления рисков встречается довольно редко и то осуществляется только под государственные гарантии. </w:t>
      </w:r>
      <w:bookmarkEnd w:id="2"/>
      <w:r w:rsidR="006174C5">
        <w:t>[7]</w:t>
      </w:r>
    </w:p>
    <w:p w14:paraId="64D4E349" w14:textId="77777777" w:rsidR="00BA79F4" w:rsidRPr="00BA79F4" w:rsidRDefault="00BA79F4" w:rsidP="00DA1B15">
      <w:pPr>
        <w:spacing w:after="0" w:line="240" w:lineRule="auto"/>
        <w:ind w:firstLine="567"/>
        <w:contextualSpacing/>
        <w:jc w:val="both"/>
        <w:rPr>
          <w:b/>
        </w:rPr>
      </w:pPr>
      <w:r w:rsidRPr="00BA79F4">
        <w:rPr>
          <w:b/>
        </w:rPr>
        <w:t>Заключение</w:t>
      </w:r>
    </w:p>
    <w:p w14:paraId="56206001" w14:textId="77777777" w:rsidR="00340FE0" w:rsidRDefault="004958A0" w:rsidP="00340FE0">
      <w:pPr>
        <w:spacing w:after="0" w:line="240" w:lineRule="auto"/>
        <w:ind w:firstLine="567"/>
        <w:contextualSpacing/>
        <w:jc w:val="both"/>
      </w:pPr>
      <w:r w:rsidRPr="00DA1B15">
        <w:t xml:space="preserve">Успех деятельности коммерческого банка зависит от того, насколько эффективно он использует имеющиеся средства, вкладывая их в различные активы, в нашем случае, предоставление кредитов. </w:t>
      </w:r>
      <w:r w:rsidR="00340FE0">
        <w:t xml:space="preserve"> Кредитование – это основной источник прибыли банка. Но и</w:t>
      </w:r>
      <w:r w:rsidRPr="00DA1B15">
        <w:t>сследовани</w:t>
      </w:r>
      <w:r w:rsidR="00BA79F4">
        <w:t>я</w:t>
      </w:r>
      <w:r w:rsidRPr="00DA1B15">
        <w:t xml:space="preserve"> свидетельствует о том, что основной причиной банкротств</w:t>
      </w:r>
      <w:r w:rsidR="00BA79F4">
        <w:t xml:space="preserve"> банков во всем мире </w:t>
      </w:r>
      <w:r w:rsidRPr="00DA1B15">
        <w:t>является низкое качество активов (обычно кредитов). Из этого следует, что принятие кредитных рисков</w:t>
      </w:r>
      <w:r w:rsidR="00340FE0">
        <w:t xml:space="preserve"> – </w:t>
      </w:r>
      <w:r w:rsidRPr="00DA1B15">
        <w:t>основа</w:t>
      </w:r>
      <w:r w:rsidR="00340FE0">
        <w:t xml:space="preserve"> </w:t>
      </w:r>
      <w:r w:rsidRPr="00DA1B15">
        <w:t xml:space="preserve">банковского дела, а управление ими традиционно считалось главной проблемой теории и практики банковского менеджмента. </w:t>
      </w:r>
    </w:p>
    <w:p w14:paraId="330FE333" w14:textId="77777777" w:rsidR="00BA73BD" w:rsidRPr="00BA73BD" w:rsidRDefault="00340FE0" w:rsidP="00C50368">
      <w:pPr>
        <w:spacing w:after="0" w:line="240" w:lineRule="auto"/>
        <w:ind w:firstLine="567"/>
        <w:contextualSpacing/>
        <w:jc w:val="both"/>
        <w:rPr>
          <w:rFonts w:eastAsia="Calibri"/>
        </w:rPr>
      </w:pPr>
      <w:r>
        <w:t>Проанализировав деятельность ПАО «Сбербанк» в области управления кредитным риском, мы выдвинули предложения по совершенствованию этого процесса. Изменяются экономические условия и кредитная политика банка в этом вопросе тоже должна развиваться.</w:t>
      </w:r>
    </w:p>
    <w:p w14:paraId="038BF765" w14:textId="77777777" w:rsidR="00C63933" w:rsidRPr="0024205B" w:rsidRDefault="00C63933" w:rsidP="00C50368">
      <w:pPr>
        <w:spacing w:after="0" w:line="240" w:lineRule="auto"/>
        <w:jc w:val="center"/>
      </w:pPr>
      <w:r w:rsidRPr="0024205B">
        <w:t>Библиографический список</w:t>
      </w:r>
    </w:p>
    <w:p w14:paraId="2B9E8554" w14:textId="77777777" w:rsidR="00A766ED" w:rsidRPr="00A766ED" w:rsidRDefault="00613041" w:rsidP="00C50368">
      <w:pPr>
        <w:pStyle w:val="a9"/>
        <w:spacing w:after="0" w:line="240" w:lineRule="auto"/>
        <w:ind w:left="142"/>
        <w:contextualSpacing w:val="0"/>
        <w:jc w:val="both"/>
      </w:pPr>
      <w:r>
        <w:lastRenderedPageBreak/>
        <w:t>1</w:t>
      </w:r>
      <w:r w:rsidR="00A766ED">
        <w:t xml:space="preserve">. </w:t>
      </w:r>
      <w:proofErr w:type="spellStart"/>
      <w:r w:rsidR="00A766ED" w:rsidRPr="00A766ED">
        <w:t>Аргинбаев</w:t>
      </w:r>
      <w:proofErr w:type="spellEnd"/>
      <w:r w:rsidR="00A766ED" w:rsidRPr="00A766ED">
        <w:t xml:space="preserve"> К.М. Принятие решений в условиях неопределенности и риска. - Препринт. Новосибирск, 2018. 16 с.;</w:t>
      </w:r>
    </w:p>
    <w:p w14:paraId="7B6DC4B9" w14:textId="77777777" w:rsidR="00A766ED" w:rsidRPr="00A766ED" w:rsidRDefault="00613041" w:rsidP="00C50368">
      <w:pPr>
        <w:pStyle w:val="a9"/>
        <w:spacing w:after="0" w:line="240" w:lineRule="auto"/>
        <w:ind w:left="142"/>
        <w:contextualSpacing w:val="0"/>
        <w:jc w:val="both"/>
      </w:pPr>
      <w:r>
        <w:t>2.</w:t>
      </w:r>
      <w:r w:rsidR="00A766ED">
        <w:t xml:space="preserve"> </w:t>
      </w:r>
      <w:r w:rsidR="00A766ED" w:rsidRPr="00A766ED">
        <w:t>Балабанов И.Т. Риск-менеджмен</w:t>
      </w:r>
      <w:r>
        <w:t>т. М.: Финансы и статистика, 2020</w:t>
      </w:r>
      <w:r w:rsidR="00A766ED" w:rsidRPr="00A766ED">
        <w:t>. 161 с.;</w:t>
      </w:r>
    </w:p>
    <w:p w14:paraId="3D20EBE9" w14:textId="77777777" w:rsidR="00A766ED" w:rsidRPr="00A766ED" w:rsidRDefault="00613041" w:rsidP="00C50368">
      <w:pPr>
        <w:pStyle w:val="a9"/>
        <w:spacing w:after="0" w:line="240" w:lineRule="auto"/>
        <w:ind w:left="142"/>
        <w:contextualSpacing w:val="0"/>
        <w:jc w:val="both"/>
      </w:pPr>
      <w:r>
        <w:t>3</w:t>
      </w:r>
      <w:r w:rsidR="00A766ED">
        <w:t xml:space="preserve">. </w:t>
      </w:r>
      <w:proofErr w:type="spellStart"/>
      <w:r w:rsidR="00A766ED" w:rsidRPr="00A766ED">
        <w:t>Бауаева</w:t>
      </w:r>
      <w:proofErr w:type="spellEnd"/>
      <w:r w:rsidR="00A766ED" w:rsidRPr="00A766ED">
        <w:t xml:space="preserve"> З.М. Теоретические аспекты управления инвестиционным риском Предпринимательство, региональная экономика и стратегия развития России: Межвузовский сборник научных трудов. </w:t>
      </w:r>
      <w:proofErr w:type="spellStart"/>
      <w:r w:rsidR="00A766ED" w:rsidRPr="00A766ED">
        <w:t>Вып</w:t>
      </w:r>
      <w:proofErr w:type="spellEnd"/>
      <w:r w:rsidR="00A766ED" w:rsidRPr="00A766ED">
        <w:t xml:space="preserve">. N 7. СПб.: Изд-во </w:t>
      </w:r>
      <w:proofErr w:type="spellStart"/>
      <w:r w:rsidR="00A766ED" w:rsidRPr="00A766ED">
        <w:t>Политехн</w:t>
      </w:r>
      <w:proofErr w:type="spellEnd"/>
      <w:r w:rsidR="00A766ED" w:rsidRPr="00A766ED">
        <w:t>. ун-та, 2019. С. 199-202;</w:t>
      </w:r>
    </w:p>
    <w:p w14:paraId="3307297B" w14:textId="77777777" w:rsidR="00A766ED" w:rsidRPr="00A766ED" w:rsidRDefault="00613041" w:rsidP="00C50368">
      <w:pPr>
        <w:pStyle w:val="a9"/>
        <w:spacing w:after="0" w:line="240" w:lineRule="auto"/>
        <w:ind w:left="142"/>
        <w:contextualSpacing w:val="0"/>
        <w:jc w:val="both"/>
      </w:pPr>
      <w:r>
        <w:t>4</w:t>
      </w:r>
      <w:r w:rsidR="00A766ED">
        <w:t xml:space="preserve">. </w:t>
      </w:r>
      <w:proofErr w:type="spellStart"/>
      <w:r w:rsidR="00A766ED" w:rsidRPr="00A766ED">
        <w:t>Вылкова</w:t>
      </w:r>
      <w:proofErr w:type="spellEnd"/>
      <w:r w:rsidR="00A766ED" w:rsidRPr="00A766ED">
        <w:t xml:space="preserve"> Е., Романовский М. Налоговое планирование: учебник для вузов. СПб.: Питер, 2016. 635 с.;</w:t>
      </w:r>
    </w:p>
    <w:p w14:paraId="34CF1360" w14:textId="77777777" w:rsidR="00A766ED" w:rsidRPr="00A766ED" w:rsidRDefault="00613041" w:rsidP="00C50368">
      <w:pPr>
        <w:pStyle w:val="a9"/>
        <w:spacing w:after="0" w:line="240" w:lineRule="auto"/>
        <w:ind w:left="142"/>
        <w:contextualSpacing w:val="0"/>
        <w:jc w:val="both"/>
      </w:pPr>
      <w:r>
        <w:t>5</w:t>
      </w:r>
      <w:r w:rsidR="00A766ED">
        <w:t xml:space="preserve">. </w:t>
      </w:r>
      <w:r w:rsidR="00A766ED" w:rsidRPr="00A766ED">
        <w:t xml:space="preserve">Глущенко В.В. Управление рисками. Страхование. - г. Железнодорожный </w:t>
      </w:r>
      <w:proofErr w:type="spellStart"/>
      <w:r w:rsidR="00A766ED" w:rsidRPr="00A766ED">
        <w:t>Моск</w:t>
      </w:r>
      <w:proofErr w:type="spellEnd"/>
      <w:r w:rsidR="00A766ED" w:rsidRPr="00A766ED">
        <w:t>. обл.: НПЦ «Крылья», 2017. – 335 с.;</w:t>
      </w:r>
    </w:p>
    <w:p w14:paraId="07270C7D" w14:textId="77777777" w:rsidR="00A766ED" w:rsidRPr="00613041" w:rsidRDefault="00613041" w:rsidP="00C50368">
      <w:pPr>
        <w:pStyle w:val="a9"/>
        <w:spacing w:after="0" w:line="240" w:lineRule="auto"/>
        <w:ind w:left="142"/>
        <w:contextualSpacing w:val="0"/>
        <w:jc w:val="both"/>
      </w:pPr>
      <w:r>
        <w:t>6</w:t>
      </w:r>
      <w:r w:rsidR="00A766ED">
        <w:t xml:space="preserve">. </w:t>
      </w:r>
      <w:proofErr w:type="spellStart"/>
      <w:r w:rsidR="00A766ED" w:rsidRPr="00A766ED">
        <w:t>Гранатуров</w:t>
      </w:r>
      <w:proofErr w:type="spellEnd"/>
      <w:r w:rsidR="00A766ED" w:rsidRPr="00A766ED">
        <w:t xml:space="preserve"> В.М. Экономический риск. М.: </w:t>
      </w:r>
      <w:r w:rsidR="00A766ED" w:rsidRPr="00613041">
        <w:t>Дело и сервис, 2015. 232 с.;</w:t>
      </w:r>
    </w:p>
    <w:p w14:paraId="0016DD3F" w14:textId="77777777" w:rsidR="00A766ED" w:rsidRPr="00613041" w:rsidRDefault="00613041" w:rsidP="00C50368">
      <w:pPr>
        <w:pStyle w:val="a9"/>
        <w:spacing w:after="0" w:line="240" w:lineRule="auto"/>
        <w:ind w:left="142"/>
        <w:contextualSpacing w:val="0"/>
        <w:jc w:val="both"/>
      </w:pPr>
      <w:r>
        <w:t>7</w:t>
      </w:r>
      <w:r w:rsidR="00A766ED" w:rsidRPr="00613041">
        <w:t xml:space="preserve">. Чернышев Е.Е. Рекомендации по снижению налоговых рисков организаций. Режим доступа: </w:t>
      </w:r>
      <w:r w:rsidRPr="00613041">
        <w:t>URL:</w:t>
      </w:r>
      <w:hyperlink r:id="rId8" w:history="1">
        <w:r w:rsidRPr="00613041">
          <w:rPr>
            <w:rStyle w:val="a8"/>
            <w:color w:val="auto"/>
            <w:u w:val="none"/>
          </w:rPr>
          <w:t xml:space="preserve">https://cyberleninka.ru/article/n/ </w:t>
        </w:r>
        <w:proofErr w:type="spellStart"/>
        <w:r w:rsidRPr="00613041">
          <w:rPr>
            <w:rStyle w:val="a8"/>
            <w:color w:val="auto"/>
            <w:u w:val="none"/>
          </w:rPr>
          <w:t>rekomendatsii-po-snizheniyu-nalogovyh-riskov-organizatsiy</w:t>
        </w:r>
        <w:proofErr w:type="spellEnd"/>
      </w:hyperlink>
      <w:bookmarkStart w:id="3" w:name="_Hlk36765571"/>
      <w:r w:rsidRPr="00613041">
        <w:t xml:space="preserve"> </w:t>
      </w:r>
      <w:r w:rsidR="00A766ED" w:rsidRPr="00613041">
        <w:t>(дата обращения: 27.05.2020)</w:t>
      </w:r>
      <w:bookmarkEnd w:id="3"/>
      <w:r>
        <w:t>;</w:t>
      </w:r>
    </w:p>
    <w:p w14:paraId="08327875" w14:textId="77777777" w:rsidR="00A766ED" w:rsidRPr="00613041" w:rsidRDefault="00613041" w:rsidP="00C50368">
      <w:pPr>
        <w:pStyle w:val="a9"/>
        <w:spacing w:after="0" w:line="240" w:lineRule="auto"/>
        <w:ind w:left="142"/>
        <w:contextualSpacing w:val="0"/>
        <w:jc w:val="both"/>
      </w:pPr>
      <w:r>
        <w:t>8</w:t>
      </w:r>
      <w:r w:rsidR="00A766ED" w:rsidRPr="00613041">
        <w:t xml:space="preserve">. Ширяев В.И. Пути решения проблемы </w:t>
      </w:r>
      <w:proofErr w:type="spellStart"/>
      <w:r w:rsidR="00A766ED" w:rsidRPr="00613041">
        <w:t>налогооблажения</w:t>
      </w:r>
      <w:proofErr w:type="spellEnd"/>
      <w:r w:rsidR="00A766ED" w:rsidRPr="00613041">
        <w:t xml:space="preserve"> РФ. Режим доступа:</w:t>
      </w:r>
      <w:r w:rsidRPr="00613041">
        <w:t xml:space="preserve"> URL:</w:t>
      </w:r>
      <w:hyperlink r:id="rId9" w:history="1">
        <w:r w:rsidRPr="00613041">
          <w:rPr>
            <w:rStyle w:val="a8"/>
            <w:color w:val="auto"/>
            <w:u w:val="none"/>
          </w:rPr>
          <w:t xml:space="preserve">https://studbooks.net/1602740/finansy/puti_resheniya_ </w:t>
        </w:r>
        <w:proofErr w:type="spellStart"/>
        <w:r w:rsidRPr="00613041">
          <w:rPr>
            <w:rStyle w:val="a8"/>
            <w:color w:val="auto"/>
            <w:u w:val="none"/>
          </w:rPr>
          <w:t>problemy_nalogooblozheniya</w:t>
        </w:r>
        <w:proofErr w:type="spellEnd"/>
      </w:hyperlink>
      <w:r w:rsidR="00A766ED" w:rsidRPr="00613041">
        <w:t>. (дата обращения: 10.06.2020)</w:t>
      </w:r>
      <w:r>
        <w:t>;</w:t>
      </w:r>
    </w:p>
    <w:p w14:paraId="1343C752" w14:textId="77777777" w:rsidR="00C63911" w:rsidRPr="00613041" w:rsidRDefault="00613041" w:rsidP="00613041">
      <w:pPr>
        <w:pStyle w:val="a9"/>
        <w:shd w:val="clear" w:color="auto" w:fill="FFFFFF"/>
        <w:spacing w:after="0" w:line="240" w:lineRule="auto"/>
        <w:ind w:left="142"/>
        <w:contextualSpacing w:val="0"/>
        <w:jc w:val="both"/>
      </w:pPr>
      <w:r>
        <w:t>9</w:t>
      </w:r>
      <w:r w:rsidRPr="00613041">
        <w:t>. Годовой отчет 2019 года ПАО «Сбербанк» [Электронный ресурс]</w:t>
      </w:r>
      <w:r w:rsidRPr="00613041">
        <w:rPr>
          <w:noProof/>
          <w:lang w:eastAsia="ru-RU"/>
        </w:rPr>
        <w:t xml:space="preserve"> </w:t>
      </w:r>
      <w:hyperlink r:id="rId10" w:history="1">
        <w:r w:rsidRPr="00613041">
          <w:rPr>
            <w:rStyle w:val="a8"/>
            <w:color w:val="auto"/>
            <w:u w:val="none"/>
          </w:rPr>
          <w:t>URL:https://www.sberbank.com/common/img/uploaded/files/pdf/yrep/ sberbank-ar19-rus.pdf</w:t>
        </w:r>
      </w:hyperlink>
      <w:r w:rsidRPr="00613041">
        <w:t xml:space="preserve"> (дата обращения 15.01.2021)</w:t>
      </w:r>
      <w:r>
        <w:t>;</w:t>
      </w:r>
    </w:p>
    <w:p w14:paraId="2A42595E" w14:textId="77777777" w:rsidR="00613041" w:rsidRPr="00613041" w:rsidRDefault="00613041" w:rsidP="00613041">
      <w:pPr>
        <w:pStyle w:val="a9"/>
        <w:shd w:val="clear" w:color="auto" w:fill="FFFFFF"/>
        <w:spacing w:after="0" w:line="240" w:lineRule="auto"/>
        <w:ind w:left="142"/>
        <w:contextualSpacing w:val="0"/>
        <w:jc w:val="both"/>
        <w:rPr>
          <w:rFonts w:eastAsia="Times New Roman"/>
          <w:kern w:val="36"/>
          <w:lang w:eastAsia="ru-RU"/>
        </w:rPr>
      </w:pPr>
      <w:r w:rsidRPr="00613041">
        <w:t>10. Годовой отчет 2018 года ПАО «Сбербанк» [Электронный ресурс]</w:t>
      </w:r>
      <w:r w:rsidRPr="00613041">
        <w:rPr>
          <w:noProof/>
          <w:lang w:eastAsia="ru-RU"/>
        </w:rPr>
        <w:t xml:space="preserve"> </w:t>
      </w:r>
      <w:hyperlink r:id="rId11" w:history="1">
        <w:r w:rsidRPr="00613041">
          <w:rPr>
            <w:rStyle w:val="a8"/>
            <w:color w:val="auto"/>
            <w:u w:val="none"/>
          </w:rPr>
          <w:t>URL:https://www.sberbank.com/common/img/uploaded/files/pdf/yrep/ sberbank-ar18-rus.pdf</w:t>
        </w:r>
      </w:hyperlink>
      <w:r w:rsidRPr="00613041">
        <w:t xml:space="preserve"> (дата обращения 15.01.2021).</w:t>
      </w:r>
    </w:p>
    <w:p w14:paraId="4E6B44DB" w14:textId="77777777" w:rsidR="00613041" w:rsidRPr="00613041" w:rsidRDefault="00613041" w:rsidP="00613041">
      <w:pPr>
        <w:pStyle w:val="a9"/>
        <w:shd w:val="clear" w:color="auto" w:fill="FFFFFF"/>
        <w:spacing w:after="0" w:line="240" w:lineRule="auto"/>
        <w:ind w:left="142"/>
        <w:contextualSpacing w:val="0"/>
        <w:jc w:val="both"/>
        <w:rPr>
          <w:rFonts w:eastAsia="Times New Roman"/>
          <w:kern w:val="36"/>
          <w:lang w:eastAsia="ru-RU"/>
        </w:rPr>
      </w:pPr>
    </w:p>
    <w:p w14:paraId="043D67CB" w14:textId="77777777" w:rsidR="000D2954" w:rsidRPr="00613041" w:rsidRDefault="000D2954" w:rsidP="003209FB">
      <w:pPr>
        <w:tabs>
          <w:tab w:val="left" w:pos="972"/>
        </w:tabs>
        <w:spacing w:line="360" w:lineRule="auto"/>
        <w:ind w:left="-709" w:firstLine="709"/>
        <w:jc w:val="both"/>
        <w:rPr>
          <w:rFonts w:eastAsia="Calibri"/>
        </w:rPr>
      </w:pPr>
    </w:p>
    <w:p w14:paraId="42C38F3E" w14:textId="77777777" w:rsidR="00490455" w:rsidRDefault="00490455" w:rsidP="006105A7">
      <w:pPr>
        <w:jc w:val="both"/>
      </w:pPr>
    </w:p>
    <w:p w14:paraId="635B15B6" w14:textId="77777777" w:rsidR="00490455" w:rsidRPr="001F6C14" w:rsidRDefault="00490455" w:rsidP="006105A7">
      <w:pPr>
        <w:jc w:val="both"/>
      </w:pPr>
    </w:p>
    <w:p w14:paraId="385CDF4E" w14:textId="77777777" w:rsidR="001F6C14" w:rsidRDefault="001F6C14" w:rsidP="001F6C14">
      <w:pPr>
        <w:ind w:left="-709" w:firstLine="709"/>
        <w:jc w:val="both"/>
      </w:pPr>
    </w:p>
    <w:p w14:paraId="5DEF744C" w14:textId="77777777" w:rsidR="002539C9" w:rsidRPr="002539C9" w:rsidRDefault="002539C9" w:rsidP="002539C9">
      <w:pPr>
        <w:ind w:left="-709" w:firstLine="709"/>
        <w:jc w:val="both"/>
      </w:pPr>
    </w:p>
    <w:sectPr w:rsidR="002539C9" w:rsidRPr="002539C9" w:rsidSect="00C5036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676C1" w14:textId="77777777" w:rsidR="00D82352" w:rsidRDefault="00D82352" w:rsidP="006105A7">
      <w:pPr>
        <w:spacing w:after="0" w:line="240" w:lineRule="auto"/>
      </w:pPr>
      <w:r>
        <w:separator/>
      </w:r>
    </w:p>
  </w:endnote>
  <w:endnote w:type="continuationSeparator" w:id="0">
    <w:p w14:paraId="31DB4989" w14:textId="77777777" w:rsidR="00D82352" w:rsidRDefault="00D82352" w:rsidP="0061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B95DD" w14:textId="77777777" w:rsidR="00D82352" w:rsidRDefault="00D82352" w:rsidP="006105A7">
      <w:pPr>
        <w:spacing w:after="0" w:line="240" w:lineRule="auto"/>
      </w:pPr>
      <w:r>
        <w:separator/>
      </w:r>
    </w:p>
  </w:footnote>
  <w:footnote w:type="continuationSeparator" w:id="0">
    <w:p w14:paraId="51750848" w14:textId="77777777" w:rsidR="00D82352" w:rsidRDefault="00D82352" w:rsidP="00610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D6A74"/>
    <w:multiLevelType w:val="hybridMultilevel"/>
    <w:tmpl w:val="F190B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A1933"/>
    <w:multiLevelType w:val="hybridMultilevel"/>
    <w:tmpl w:val="EDEE83FA"/>
    <w:lvl w:ilvl="0" w:tplc="5A3E5352">
      <w:start w:val="1"/>
      <w:numFmt w:val="bullet"/>
      <w:lvlText w:val="-"/>
      <w:lvlJc w:val="left"/>
      <w:pPr>
        <w:ind w:left="2007" w:hanging="360"/>
      </w:pPr>
      <w:rPr>
        <w:rFonts w:ascii="Times New Roman" w:hAnsi="Times New Roman" w:cs="Times New Roman" w:hint="default"/>
        <w:b w:val="0"/>
        <w:i w:val="0"/>
        <w:caps w:val="0"/>
        <w:strike w:val="0"/>
        <w:dstrike w:val="0"/>
        <w:vanish w:val="0"/>
        <w:webHidden w:val="0"/>
        <w:color w:val="auto"/>
        <w:spacing w:val="0"/>
        <w:w w:val="100"/>
        <w:sz w:val="28"/>
        <w:u w:val="none"/>
        <w:effect w:val="none"/>
        <w:vertAlign w:val="baseline"/>
        <w:specVanish w:val="0"/>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2" w15:restartNumberingAfterBreak="0">
    <w:nsid w:val="3B66678F"/>
    <w:multiLevelType w:val="hybridMultilevel"/>
    <w:tmpl w:val="39BEA45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9"/>
    <w:rsid w:val="000C2987"/>
    <w:rsid w:val="000C3DD5"/>
    <w:rsid w:val="000D2954"/>
    <w:rsid w:val="00105CAB"/>
    <w:rsid w:val="00107456"/>
    <w:rsid w:val="00110339"/>
    <w:rsid w:val="00125622"/>
    <w:rsid w:val="00166D05"/>
    <w:rsid w:val="001F6C14"/>
    <w:rsid w:val="002124DB"/>
    <w:rsid w:val="00220E08"/>
    <w:rsid w:val="00234938"/>
    <w:rsid w:val="00241C90"/>
    <w:rsid w:val="002426E0"/>
    <w:rsid w:val="002539C9"/>
    <w:rsid w:val="00253F29"/>
    <w:rsid w:val="002E4D49"/>
    <w:rsid w:val="003209FB"/>
    <w:rsid w:val="00340FE0"/>
    <w:rsid w:val="00344337"/>
    <w:rsid w:val="003453F8"/>
    <w:rsid w:val="003B13E4"/>
    <w:rsid w:val="003C6C63"/>
    <w:rsid w:val="003E1029"/>
    <w:rsid w:val="00445C45"/>
    <w:rsid w:val="00476788"/>
    <w:rsid w:val="004817E2"/>
    <w:rsid w:val="00490455"/>
    <w:rsid w:val="004958A0"/>
    <w:rsid w:val="005A1C8F"/>
    <w:rsid w:val="005B2CE6"/>
    <w:rsid w:val="005B3C2F"/>
    <w:rsid w:val="006105A7"/>
    <w:rsid w:val="00613041"/>
    <w:rsid w:val="006174C5"/>
    <w:rsid w:val="006404F1"/>
    <w:rsid w:val="006767C5"/>
    <w:rsid w:val="006D5F22"/>
    <w:rsid w:val="006D793B"/>
    <w:rsid w:val="006F7DA2"/>
    <w:rsid w:val="0074590F"/>
    <w:rsid w:val="0077498E"/>
    <w:rsid w:val="00774E16"/>
    <w:rsid w:val="007C30F5"/>
    <w:rsid w:val="007C34EC"/>
    <w:rsid w:val="007E0C15"/>
    <w:rsid w:val="008256A4"/>
    <w:rsid w:val="0082776D"/>
    <w:rsid w:val="00843687"/>
    <w:rsid w:val="00875BFA"/>
    <w:rsid w:val="008D1357"/>
    <w:rsid w:val="00934C4A"/>
    <w:rsid w:val="009667DC"/>
    <w:rsid w:val="00980ED4"/>
    <w:rsid w:val="009A2850"/>
    <w:rsid w:val="009A746C"/>
    <w:rsid w:val="009C2E0E"/>
    <w:rsid w:val="009F06FB"/>
    <w:rsid w:val="00A05C4B"/>
    <w:rsid w:val="00A44989"/>
    <w:rsid w:val="00A73504"/>
    <w:rsid w:val="00A766ED"/>
    <w:rsid w:val="00A80B0D"/>
    <w:rsid w:val="00A90FB9"/>
    <w:rsid w:val="00A92972"/>
    <w:rsid w:val="00AA1F14"/>
    <w:rsid w:val="00AE1A42"/>
    <w:rsid w:val="00B0693B"/>
    <w:rsid w:val="00B17AE1"/>
    <w:rsid w:val="00BA73BD"/>
    <w:rsid w:val="00BA79F4"/>
    <w:rsid w:val="00BC7A9D"/>
    <w:rsid w:val="00C0315D"/>
    <w:rsid w:val="00C21A2F"/>
    <w:rsid w:val="00C359EA"/>
    <w:rsid w:val="00C50368"/>
    <w:rsid w:val="00C63911"/>
    <w:rsid w:val="00C63933"/>
    <w:rsid w:val="00C91E99"/>
    <w:rsid w:val="00CA261C"/>
    <w:rsid w:val="00CB11CD"/>
    <w:rsid w:val="00CF41F7"/>
    <w:rsid w:val="00D228E5"/>
    <w:rsid w:val="00D55A40"/>
    <w:rsid w:val="00D6074E"/>
    <w:rsid w:val="00D64E42"/>
    <w:rsid w:val="00D82352"/>
    <w:rsid w:val="00D8533B"/>
    <w:rsid w:val="00D96FDD"/>
    <w:rsid w:val="00DA1B15"/>
    <w:rsid w:val="00DF0BEA"/>
    <w:rsid w:val="00E22488"/>
    <w:rsid w:val="00E2465D"/>
    <w:rsid w:val="00E75816"/>
    <w:rsid w:val="00E94FC2"/>
    <w:rsid w:val="00EA2C10"/>
    <w:rsid w:val="00EC54C2"/>
    <w:rsid w:val="00F1290C"/>
    <w:rsid w:val="00F16705"/>
    <w:rsid w:val="00F43729"/>
    <w:rsid w:val="00F513F5"/>
    <w:rsid w:val="00F805D4"/>
    <w:rsid w:val="00F84780"/>
    <w:rsid w:val="00F9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5C95"/>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8E5"/>
  </w:style>
  <w:style w:type="paragraph" w:styleId="1">
    <w:name w:val="heading 1"/>
    <w:basedOn w:val="a"/>
    <w:next w:val="a"/>
    <w:link w:val="10"/>
    <w:uiPriority w:val="9"/>
    <w:qFormat/>
    <w:rsid w:val="001074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5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05A7"/>
  </w:style>
  <w:style w:type="paragraph" w:styleId="a5">
    <w:name w:val="footer"/>
    <w:basedOn w:val="a"/>
    <w:link w:val="a6"/>
    <w:uiPriority w:val="99"/>
    <w:unhideWhenUsed/>
    <w:rsid w:val="006105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05A7"/>
  </w:style>
  <w:style w:type="table" w:styleId="a7">
    <w:name w:val="Table Grid"/>
    <w:basedOn w:val="a1"/>
    <w:uiPriority w:val="59"/>
    <w:rsid w:val="00D6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E1029"/>
    <w:rPr>
      <w:color w:val="0563C1" w:themeColor="hyperlink"/>
      <w:u w:val="single"/>
    </w:rPr>
  </w:style>
  <w:style w:type="character" w:customStyle="1" w:styleId="10">
    <w:name w:val="Заголовок 1 Знак"/>
    <w:basedOn w:val="a0"/>
    <w:link w:val="1"/>
    <w:uiPriority w:val="9"/>
    <w:rsid w:val="00107456"/>
    <w:rPr>
      <w:rFonts w:asciiTheme="majorHAnsi" w:eastAsiaTheme="majorEastAsia" w:hAnsiTheme="majorHAnsi" w:cstheme="majorBidi"/>
      <w:color w:val="2F5496" w:themeColor="accent1" w:themeShade="BF"/>
      <w:sz w:val="32"/>
      <w:szCs w:val="32"/>
    </w:rPr>
  </w:style>
  <w:style w:type="paragraph" w:styleId="a9">
    <w:name w:val="List Paragraph"/>
    <w:basedOn w:val="a"/>
    <w:uiPriority w:val="34"/>
    <w:qFormat/>
    <w:rsid w:val="00BA73BD"/>
    <w:pPr>
      <w:ind w:left="720"/>
      <w:contextualSpacing/>
    </w:pPr>
  </w:style>
  <w:style w:type="paragraph" w:styleId="aa">
    <w:name w:val="footnote text"/>
    <w:basedOn w:val="a"/>
    <w:link w:val="ab"/>
    <w:uiPriority w:val="99"/>
    <w:rsid w:val="00A80B0D"/>
    <w:pPr>
      <w:spacing w:after="0" w:line="240" w:lineRule="auto"/>
    </w:pPr>
    <w:rPr>
      <w:rFonts w:eastAsia="Times New Roman"/>
      <w:sz w:val="20"/>
      <w:szCs w:val="20"/>
      <w:lang w:eastAsia="ar-SA"/>
    </w:rPr>
  </w:style>
  <w:style w:type="character" w:customStyle="1" w:styleId="ab">
    <w:name w:val="Текст сноски Знак"/>
    <w:basedOn w:val="a0"/>
    <w:link w:val="aa"/>
    <w:uiPriority w:val="99"/>
    <w:rsid w:val="00A80B0D"/>
    <w:rPr>
      <w:rFonts w:eastAsia="Times New Roman"/>
      <w:sz w:val="20"/>
      <w:szCs w:val="20"/>
      <w:lang w:eastAsia="ar-SA"/>
    </w:rPr>
  </w:style>
  <w:style w:type="paragraph" w:styleId="ac">
    <w:name w:val="Title"/>
    <w:basedOn w:val="a"/>
    <w:link w:val="ad"/>
    <w:qFormat/>
    <w:rsid w:val="00A80B0D"/>
    <w:pPr>
      <w:spacing w:after="0" w:line="240" w:lineRule="auto"/>
      <w:jc w:val="center"/>
    </w:pPr>
    <w:rPr>
      <w:rFonts w:eastAsia="Times New Roman"/>
      <w:sz w:val="32"/>
      <w:szCs w:val="20"/>
      <w:lang w:eastAsia="ru-RU"/>
    </w:rPr>
  </w:style>
  <w:style w:type="character" w:customStyle="1" w:styleId="ad">
    <w:name w:val="Заголовок Знак"/>
    <w:basedOn w:val="a0"/>
    <w:link w:val="ac"/>
    <w:rsid w:val="00A80B0D"/>
    <w:rPr>
      <w:rFonts w:eastAsia="Times New Roman"/>
      <w:sz w:val="32"/>
      <w:szCs w:val="20"/>
      <w:lang w:eastAsia="ru-RU"/>
    </w:rPr>
  </w:style>
  <w:style w:type="character" w:styleId="ae">
    <w:name w:val="footnote reference"/>
    <w:uiPriority w:val="99"/>
    <w:rsid w:val="00A80B0D"/>
    <w:rPr>
      <w:vertAlign w:val="superscript"/>
    </w:rPr>
  </w:style>
  <w:style w:type="paragraph" w:customStyle="1" w:styleId="3">
    <w:name w:val="3Текст"/>
    <w:basedOn w:val="a"/>
    <w:qFormat/>
    <w:rsid w:val="00A80B0D"/>
    <w:pPr>
      <w:spacing w:before="100" w:beforeAutospacing="1" w:after="100" w:afterAutospacing="1" w:line="360" w:lineRule="auto"/>
      <w:ind w:firstLine="709"/>
      <w:contextualSpacing/>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20rekomendatsii-po-snizheniyu-nalogovyh-riskov-organizatsi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www.sberbank.com/common/img/uploaded/files/pdf/yrep/%20sberbank-ar18-rus.pdf" TargetMode="External"/><Relationship Id="rId5" Type="http://schemas.openxmlformats.org/officeDocument/2006/relationships/webSettings" Target="webSettings.xml"/><Relationship Id="rId10" Type="http://schemas.openxmlformats.org/officeDocument/2006/relationships/hyperlink" Target="URL:https://www.sberbank.com/common/img/uploaded/files/pdf/yrep/%20sberbank-ar19-rus.pdf" TargetMode="External"/><Relationship Id="rId4" Type="http://schemas.openxmlformats.org/officeDocument/2006/relationships/settings" Target="settings.xml"/><Relationship Id="rId9" Type="http://schemas.openxmlformats.org/officeDocument/2006/relationships/hyperlink" Target="https://studbooks.net/1602740/finansy/puti_resheniya_%20problemy_nalogoobloz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849C2-EAF7-4D13-9F66-F29A9676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комаров</dc:creator>
  <cp:keywords/>
  <dc:description/>
  <cp:lastModifiedBy>Сольская Ирина Юрьевна</cp:lastModifiedBy>
  <cp:revision>2</cp:revision>
  <dcterms:created xsi:type="dcterms:W3CDTF">2021-04-08T00:09:00Z</dcterms:created>
  <dcterms:modified xsi:type="dcterms:W3CDTF">2021-04-08T00:09:00Z</dcterms:modified>
</cp:coreProperties>
</file>