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E27C9" w14:textId="77777777" w:rsidR="005F5ED4" w:rsidRPr="00AE5316" w:rsidRDefault="005F5ED4" w:rsidP="001366AA">
      <w:pPr>
        <w:ind w:firstLine="0"/>
        <w:jc w:val="right"/>
        <w:rPr>
          <w:szCs w:val="28"/>
          <w:lang w:val="ru-RU"/>
        </w:rPr>
      </w:pPr>
      <w:bookmarkStart w:id="0" w:name="_GoBack"/>
      <w:bookmarkEnd w:id="0"/>
      <w:proofErr w:type="spellStart"/>
      <w:r w:rsidRPr="00AE5316">
        <w:rPr>
          <w:szCs w:val="28"/>
          <w:lang w:val="ru-RU"/>
        </w:rPr>
        <w:t>Бородавко</w:t>
      </w:r>
      <w:proofErr w:type="spellEnd"/>
      <w:r w:rsidRPr="00AE5316">
        <w:rPr>
          <w:szCs w:val="28"/>
          <w:lang w:val="ru-RU"/>
        </w:rPr>
        <w:t xml:space="preserve"> </w:t>
      </w:r>
      <w:r w:rsidR="001366AA">
        <w:rPr>
          <w:szCs w:val="28"/>
          <w:lang w:val="ru-RU"/>
        </w:rPr>
        <w:t>Л.С.</w:t>
      </w:r>
      <w:r w:rsidRPr="00AE5316">
        <w:rPr>
          <w:szCs w:val="28"/>
          <w:lang w:val="ru-RU"/>
        </w:rPr>
        <w:t xml:space="preserve"> </w:t>
      </w:r>
    </w:p>
    <w:p w14:paraId="6A88FF24" w14:textId="77777777" w:rsidR="001366AA" w:rsidRPr="001366AA" w:rsidRDefault="001366AA" w:rsidP="001366AA">
      <w:pPr>
        <w:jc w:val="right"/>
        <w:rPr>
          <w:rFonts w:cs="Times New Roman"/>
          <w:szCs w:val="28"/>
          <w:lang w:val="ru-RU"/>
        </w:rPr>
      </w:pPr>
      <w:r w:rsidRPr="001366AA">
        <w:rPr>
          <w:rFonts w:cs="Times New Roman"/>
          <w:szCs w:val="28"/>
          <w:lang w:val="ru-RU"/>
        </w:rPr>
        <w:t xml:space="preserve">к.э.н., доцент, доцент кафедры </w:t>
      </w:r>
      <w:r w:rsidR="00650F62">
        <w:rPr>
          <w:rFonts w:cs="Times New Roman"/>
          <w:szCs w:val="28"/>
          <w:lang w:val="ru-RU"/>
        </w:rPr>
        <w:t>финансового и стратегического менеджмента</w:t>
      </w:r>
    </w:p>
    <w:p w14:paraId="24B0FFF7" w14:textId="77777777" w:rsidR="001366AA" w:rsidRPr="001366AA" w:rsidRDefault="001366AA" w:rsidP="001366AA">
      <w:pPr>
        <w:jc w:val="right"/>
        <w:rPr>
          <w:rFonts w:cs="Times New Roman"/>
          <w:szCs w:val="28"/>
          <w:lang w:val="ru-RU"/>
        </w:rPr>
      </w:pPr>
      <w:r w:rsidRPr="001366AA">
        <w:rPr>
          <w:rFonts w:cs="Times New Roman"/>
          <w:szCs w:val="28"/>
          <w:lang w:val="ru-RU"/>
        </w:rPr>
        <w:t>Иркутского государственного университета путей сообщения</w:t>
      </w:r>
    </w:p>
    <w:p w14:paraId="3558722F" w14:textId="77777777" w:rsidR="001366AA" w:rsidRPr="00617E8B" w:rsidRDefault="001366AA" w:rsidP="001366AA">
      <w:pPr>
        <w:jc w:val="right"/>
        <w:rPr>
          <w:rFonts w:cs="Times New Roman"/>
          <w:szCs w:val="28"/>
          <w:lang w:val="ru-RU"/>
        </w:rPr>
      </w:pPr>
      <w:r w:rsidRPr="00617E8B">
        <w:rPr>
          <w:rFonts w:cs="Times New Roman"/>
          <w:szCs w:val="28"/>
          <w:lang w:val="ru-RU"/>
        </w:rPr>
        <w:t>г. Иркутск</w:t>
      </w:r>
    </w:p>
    <w:p w14:paraId="1D214B8B" w14:textId="77777777" w:rsidR="005F5ED4" w:rsidRPr="00617E8B" w:rsidRDefault="005F5ED4" w:rsidP="001366AA">
      <w:pPr>
        <w:ind w:firstLine="0"/>
        <w:jc w:val="right"/>
        <w:rPr>
          <w:szCs w:val="28"/>
          <w:lang w:val="ru-RU"/>
        </w:rPr>
      </w:pPr>
      <w:r w:rsidRPr="00617E8B">
        <w:rPr>
          <w:szCs w:val="28"/>
          <w:lang w:val="ru-RU"/>
        </w:rPr>
        <w:t xml:space="preserve">+7(902)513-29-04, </w:t>
      </w:r>
      <w:hyperlink r:id="rId5" w:history="1">
        <w:r w:rsidR="001366AA" w:rsidRPr="00617E8B">
          <w:rPr>
            <w:rStyle w:val="a5"/>
            <w:color w:val="auto"/>
            <w:szCs w:val="28"/>
            <w:lang w:val="ru-RU"/>
          </w:rPr>
          <w:t>borodavkols@mail.ru</w:t>
        </w:r>
      </w:hyperlink>
    </w:p>
    <w:p w14:paraId="215BDE80" w14:textId="77777777" w:rsidR="005F5ED4" w:rsidRPr="00617E8B" w:rsidRDefault="001366AA" w:rsidP="001366AA">
      <w:pPr>
        <w:ind w:firstLine="0"/>
        <w:jc w:val="right"/>
        <w:rPr>
          <w:szCs w:val="28"/>
          <w:lang w:val="ru-RU"/>
        </w:rPr>
      </w:pPr>
      <w:r w:rsidRPr="00617E8B">
        <w:rPr>
          <w:szCs w:val="28"/>
          <w:lang w:val="ru-RU"/>
        </w:rPr>
        <w:t>Нетесова С.И.</w:t>
      </w:r>
    </w:p>
    <w:p w14:paraId="5C73A785" w14:textId="77777777" w:rsidR="001366AA" w:rsidRPr="00617E8B" w:rsidRDefault="001366AA" w:rsidP="001366AA">
      <w:pPr>
        <w:jc w:val="right"/>
        <w:rPr>
          <w:rFonts w:cs="Times New Roman"/>
          <w:szCs w:val="28"/>
          <w:lang w:val="ru-RU"/>
        </w:rPr>
      </w:pPr>
      <w:r w:rsidRPr="00617E8B">
        <w:rPr>
          <w:rFonts w:cs="Times New Roman"/>
          <w:szCs w:val="28"/>
          <w:lang w:val="ru-RU"/>
        </w:rPr>
        <w:t>магистрант кафедры финансов и бухгалтерского учета</w:t>
      </w:r>
    </w:p>
    <w:p w14:paraId="5BEE7D0B" w14:textId="77777777" w:rsidR="001366AA" w:rsidRPr="00617E8B" w:rsidRDefault="001366AA" w:rsidP="001366AA">
      <w:pPr>
        <w:jc w:val="right"/>
        <w:rPr>
          <w:rFonts w:cs="Times New Roman"/>
          <w:szCs w:val="28"/>
          <w:lang w:val="ru-RU"/>
        </w:rPr>
      </w:pPr>
      <w:r w:rsidRPr="00617E8B">
        <w:rPr>
          <w:rFonts w:cs="Times New Roman"/>
          <w:szCs w:val="28"/>
          <w:lang w:val="ru-RU"/>
        </w:rPr>
        <w:t>Иркутского государственного университета путей сообщения</w:t>
      </w:r>
    </w:p>
    <w:p w14:paraId="67400621" w14:textId="77777777" w:rsidR="001366AA" w:rsidRPr="00617E8B" w:rsidRDefault="001366AA" w:rsidP="001366AA">
      <w:pPr>
        <w:jc w:val="right"/>
        <w:rPr>
          <w:rFonts w:cs="Times New Roman"/>
          <w:szCs w:val="28"/>
          <w:lang w:val="ru-RU"/>
        </w:rPr>
      </w:pPr>
      <w:r w:rsidRPr="00617E8B">
        <w:rPr>
          <w:rFonts w:cs="Times New Roman"/>
          <w:szCs w:val="28"/>
          <w:lang w:val="ru-RU"/>
        </w:rPr>
        <w:t>г. Иркутск</w:t>
      </w:r>
    </w:p>
    <w:p w14:paraId="1E3818DA" w14:textId="77777777" w:rsidR="00AE5316" w:rsidRPr="00617E8B" w:rsidRDefault="00AE5316" w:rsidP="001366AA">
      <w:pPr>
        <w:ind w:firstLine="0"/>
        <w:jc w:val="right"/>
      </w:pPr>
      <w:r w:rsidRPr="00617E8B">
        <w:rPr>
          <w:szCs w:val="28"/>
        </w:rPr>
        <w:t xml:space="preserve">+7(914)933-39-82, </w:t>
      </w:r>
      <w:hyperlink r:id="rId6" w:history="1">
        <w:r w:rsidRPr="00617E8B">
          <w:rPr>
            <w:rStyle w:val="a5"/>
            <w:color w:val="auto"/>
            <w:szCs w:val="28"/>
          </w:rPr>
          <w:t>netesova.s.98@gmail.com</w:t>
        </w:r>
      </w:hyperlink>
    </w:p>
    <w:p w14:paraId="691E1625" w14:textId="77777777" w:rsidR="001366AA" w:rsidRPr="00617E8B" w:rsidRDefault="001366AA" w:rsidP="001366AA">
      <w:pPr>
        <w:ind w:firstLine="0"/>
        <w:jc w:val="right"/>
      </w:pPr>
    </w:p>
    <w:p w14:paraId="42447710" w14:textId="77777777" w:rsidR="001366AA" w:rsidRPr="00617E8B" w:rsidRDefault="001366AA" w:rsidP="001366AA">
      <w:pPr>
        <w:ind w:firstLine="0"/>
        <w:jc w:val="right"/>
        <w:rPr>
          <w:szCs w:val="28"/>
        </w:rPr>
      </w:pPr>
      <w:proofErr w:type="spellStart"/>
      <w:r w:rsidRPr="00617E8B">
        <w:rPr>
          <w:szCs w:val="28"/>
        </w:rPr>
        <w:t>Borodavko</w:t>
      </w:r>
      <w:proofErr w:type="spellEnd"/>
      <w:r w:rsidRPr="00617E8B">
        <w:rPr>
          <w:szCs w:val="28"/>
        </w:rPr>
        <w:t xml:space="preserve"> L.S.</w:t>
      </w:r>
    </w:p>
    <w:p w14:paraId="579870AF" w14:textId="77777777" w:rsidR="001366AA" w:rsidRPr="00617E8B" w:rsidRDefault="001366AA" w:rsidP="001366AA">
      <w:pPr>
        <w:jc w:val="right"/>
        <w:rPr>
          <w:rFonts w:cs="Times New Roman"/>
          <w:szCs w:val="28"/>
        </w:rPr>
      </w:pPr>
      <w:r w:rsidRPr="00617E8B">
        <w:rPr>
          <w:rFonts w:cs="Times New Roman"/>
          <w:szCs w:val="28"/>
        </w:rPr>
        <w:t xml:space="preserve">Ph.D., Associate Professor, Department of </w:t>
      </w:r>
      <w:r w:rsidR="00650F62" w:rsidRPr="00650F62">
        <w:rPr>
          <w:rFonts w:cs="Times New Roman"/>
          <w:szCs w:val="28"/>
        </w:rPr>
        <w:t>Financial and Strategic Management</w:t>
      </w:r>
    </w:p>
    <w:p w14:paraId="0E27DB8B" w14:textId="77777777" w:rsidR="001366AA" w:rsidRPr="00617E8B" w:rsidRDefault="001366AA" w:rsidP="001366AA">
      <w:pPr>
        <w:jc w:val="right"/>
        <w:rPr>
          <w:rFonts w:cs="Times New Roman"/>
          <w:szCs w:val="28"/>
        </w:rPr>
      </w:pPr>
      <w:r w:rsidRPr="00617E8B">
        <w:rPr>
          <w:rFonts w:cs="Times New Roman"/>
          <w:szCs w:val="28"/>
        </w:rPr>
        <w:t xml:space="preserve">Irkutsk State University of Communications </w:t>
      </w:r>
    </w:p>
    <w:p w14:paraId="2A1E218A" w14:textId="77777777" w:rsidR="001366AA" w:rsidRPr="00617E8B" w:rsidRDefault="001366AA" w:rsidP="001366AA">
      <w:pPr>
        <w:jc w:val="right"/>
        <w:rPr>
          <w:rFonts w:cs="Times New Roman"/>
          <w:szCs w:val="28"/>
        </w:rPr>
      </w:pPr>
      <w:r w:rsidRPr="00617E8B">
        <w:rPr>
          <w:rFonts w:cs="Times New Roman"/>
          <w:szCs w:val="28"/>
        </w:rPr>
        <w:t>Irkutsk</w:t>
      </w:r>
    </w:p>
    <w:p w14:paraId="60F96DE4" w14:textId="77777777" w:rsidR="001366AA" w:rsidRPr="00617E8B" w:rsidRDefault="001366AA" w:rsidP="001366AA">
      <w:pPr>
        <w:jc w:val="right"/>
        <w:rPr>
          <w:rFonts w:cs="Times New Roman"/>
          <w:szCs w:val="28"/>
        </w:rPr>
      </w:pPr>
      <w:proofErr w:type="spellStart"/>
      <w:r w:rsidRPr="00617E8B">
        <w:rPr>
          <w:rFonts w:cs="Times New Roman"/>
          <w:szCs w:val="28"/>
        </w:rPr>
        <w:t>Netesova</w:t>
      </w:r>
      <w:proofErr w:type="spellEnd"/>
      <w:r w:rsidRPr="00617E8B">
        <w:rPr>
          <w:rFonts w:cs="Times New Roman"/>
          <w:szCs w:val="28"/>
        </w:rPr>
        <w:t xml:space="preserve"> S.I.</w:t>
      </w:r>
    </w:p>
    <w:p w14:paraId="5BF9BDF6" w14:textId="77777777" w:rsidR="001366AA" w:rsidRPr="00A82212" w:rsidRDefault="001366AA" w:rsidP="001366AA">
      <w:pPr>
        <w:jc w:val="right"/>
        <w:rPr>
          <w:rFonts w:cs="Times New Roman"/>
          <w:szCs w:val="28"/>
        </w:rPr>
      </w:pPr>
      <w:r w:rsidRPr="00A82212">
        <w:rPr>
          <w:rFonts w:cs="Times New Roman"/>
          <w:szCs w:val="28"/>
        </w:rPr>
        <w:t xml:space="preserve">Master student of the Department of </w:t>
      </w:r>
      <w:r w:rsidR="00650F62" w:rsidRPr="00650F62">
        <w:rPr>
          <w:rFonts w:cs="Times New Roman"/>
          <w:szCs w:val="28"/>
        </w:rPr>
        <w:t>Financial and Strategic Management</w:t>
      </w:r>
    </w:p>
    <w:p w14:paraId="16F9630E" w14:textId="77777777" w:rsidR="001366AA" w:rsidRPr="00A82212" w:rsidRDefault="001366AA" w:rsidP="001366AA">
      <w:pPr>
        <w:jc w:val="right"/>
        <w:rPr>
          <w:rFonts w:cs="Times New Roman"/>
          <w:szCs w:val="28"/>
        </w:rPr>
      </w:pPr>
      <w:r w:rsidRPr="00A82212">
        <w:rPr>
          <w:rFonts w:cs="Times New Roman"/>
          <w:szCs w:val="28"/>
        </w:rPr>
        <w:t>Irkutsk State University of Communications</w:t>
      </w:r>
    </w:p>
    <w:p w14:paraId="7859DE02" w14:textId="77777777" w:rsidR="001366AA" w:rsidRPr="00A82212" w:rsidRDefault="001366AA" w:rsidP="001366AA">
      <w:pPr>
        <w:jc w:val="right"/>
        <w:rPr>
          <w:rFonts w:cs="Times New Roman"/>
          <w:szCs w:val="28"/>
        </w:rPr>
      </w:pPr>
      <w:r w:rsidRPr="00A82212">
        <w:rPr>
          <w:rFonts w:cs="Times New Roman"/>
          <w:szCs w:val="28"/>
        </w:rPr>
        <w:t>Irkutsk</w:t>
      </w:r>
    </w:p>
    <w:p w14:paraId="2AA6EF55" w14:textId="77777777" w:rsidR="001366AA" w:rsidRPr="001366AA" w:rsidRDefault="001366AA" w:rsidP="001366AA">
      <w:pPr>
        <w:ind w:firstLine="0"/>
        <w:jc w:val="right"/>
        <w:rPr>
          <w:szCs w:val="28"/>
        </w:rPr>
      </w:pPr>
    </w:p>
    <w:p w14:paraId="61386C6A" w14:textId="77777777" w:rsidR="001366AA" w:rsidRPr="001366AA" w:rsidRDefault="001366AA" w:rsidP="001366AA">
      <w:pPr>
        <w:ind w:firstLine="0"/>
        <w:jc w:val="right"/>
        <w:rPr>
          <w:szCs w:val="28"/>
        </w:rPr>
      </w:pPr>
    </w:p>
    <w:p w14:paraId="4CA404DC" w14:textId="77777777" w:rsidR="00AE5316" w:rsidRPr="001366AA" w:rsidRDefault="00AE5316" w:rsidP="008567AD">
      <w:pPr>
        <w:ind w:firstLine="0"/>
        <w:jc w:val="left"/>
        <w:rPr>
          <w:szCs w:val="28"/>
        </w:rPr>
      </w:pPr>
    </w:p>
    <w:p w14:paraId="4B5B4A68" w14:textId="77777777" w:rsidR="008F724C" w:rsidRPr="008F724C" w:rsidRDefault="008F724C" w:rsidP="008F724C">
      <w:pPr>
        <w:ind w:firstLine="0"/>
        <w:jc w:val="center"/>
        <w:rPr>
          <w:szCs w:val="28"/>
          <w:lang w:val="ru-RU"/>
        </w:rPr>
      </w:pPr>
      <w:r w:rsidRPr="008F724C">
        <w:rPr>
          <w:szCs w:val="28"/>
          <w:lang w:val="ru-RU"/>
        </w:rPr>
        <w:t>Унификация подхода к  формированию портфеля частного инвестора в современных условиях</w:t>
      </w:r>
    </w:p>
    <w:p w14:paraId="0842537F" w14:textId="77777777" w:rsidR="00AE5316" w:rsidRPr="00617E8B" w:rsidRDefault="00AE5316" w:rsidP="008567AD">
      <w:pPr>
        <w:ind w:firstLine="0"/>
        <w:jc w:val="left"/>
        <w:rPr>
          <w:b/>
          <w:szCs w:val="28"/>
          <w:lang w:val="ru-RU"/>
        </w:rPr>
      </w:pPr>
    </w:p>
    <w:p w14:paraId="7389EF33" w14:textId="77777777" w:rsidR="00AE5316" w:rsidRDefault="005F5ED4" w:rsidP="00617E8B">
      <w:pPr>
        <w:rPr>
          <w:szCs w:val="28"/>
          <w:lang w:val="ru-RU"/>
        </w:rPr>
      </w:pPr>
      <w:r w:rsidRPr="001366AA">
        <w:rPr>
          <w:i/>
          <w:szCs w:val="28"/>
          <w:lang w:val="ru-RU"/>
        </w:rPr>
        <w:t>Аннотация</w:t>
      </w:r>
      <w:r w:rsidRPr="00AE5316">
        <w:rPr>
          <w:szCs w:val="28"/>
          <w:lang w:val="ru-RU"/>
        </w:rPr>
        <w:t xml:space="preserve">. В статье </w:t>
      </w:r>
      <w:r w:rsidR="006B1419">
        <w:rPr>
          <w:szCs w:val="28"/>
          <w:lang w:val="ru-RU"/>
        </w:rPr>
        <w:t>затронута тема инвестирования</w:t>
      </w:r>
      <w:r w:rsidR="00AE5316">
        <w:rPr>
          <w:szCs w:val="28"/>
          <w:lang w:val="ru-RU"/>
        </w:rPr>
        <w:t xml:space="preserve"> физических лиц</w:t>
      </w:r>
      <w:r w:rsidR="006B1419">
        <w:rPr>
          <w:szCs w:val="28"/>
          <w:lang w:val="ru-RU"/>
        </w:rPr>
        <w:t xml:space="preserve"> в современных условиях</w:t>
      </w:r>
      <w:r w:rsidR="00AE5316">
        <w:rPr>
          <w:szCs w:val="28"/>
          <w:lang w:val="ru-RU"/>
        </w:rPr>
        <w:t>. Оценена динамика количества физических лиц на фондовом рынке за период с 2015 по 2021</w:t>
      </w:r>
      <w:r w:rsidR="006B1419">
        <w:rPr>
          <w:szCs w:val="28"/>
          <w:lang w:val="ru-RU"/>
        </w:rPr>
        <w:t xml:space="preserve"> годы</w:t>
      </w:r>
      <w:r w:rsidR="00AE5316">
        <w:rPr>
          <w:szCs w:val="28"/>
          <w:lang w:val="ru-RU"/>
        </w:rPr>
        <w:t xml:space="preserve">. Приведены основные инструменты частного инвестирования. Проанализированы ставки по депозитам </w:t>
      </w:r>
      <w:r w:rsidR="006B1419">
        <w:rPr>
          <w:szCs w:val="28"/>
          <w:lang w:val="ru-RU"/>
        </w:rPr>
        <w:t>крупнейших коммерческих</w:t>
      </w:r>
      <w:r w:rsidR="00AE5316">
        <w:rPr>
          <w:szCs w:val="28"/>
          <w:lang w:val="ru-RU"/>
        </w:rPr>
        <w:t xml:space="preserve"> банков России. Рассмотрены и проанализированы акции с наивысше</w:t>
      </w:r>
      <w:r w:rsidR="006B1419">
        <w:rPr>
          <w:szCs w:val="28"/>
          <w:lang w:val="ru-RU"/>
        </w:rPr>
        <w:t>й</w:t>
      </w:r>
      <w:r w:rsidR="00AE5316">
        <w:rPr>
          <w:szCs w:val="28"/>
          <w:lang w:val="ru-RU"/>
        </w:rPr>
        <w:t xml:space="preserve"> капитальной доходностью. </w:t>
      </w:r>
      <w:r w:rsidR="006B1419">
        <w:rPr>
          <w:szCs w:val="28"/>
          <w:lang w:val="ru-RU"/>
        </w:rPr>
        <w:t>Проанализированы облигации как объект частного инвестирования и представлены</w:t>
      </w:r>
      <w:r w:rsidR="00AE5316">
        <w:rPr>
          <w:szCs w:val="28"/>
          <w:lang w:val="ru-RU"/>
        </w:rPr>
        <w:t xml:space="preserve"> размеры купонов по облигация</w:t>
      </w:r>
      <w:r w:rsidR="006B1419">
        <w:rPr>
          <w:szCs w:val="28"/>
          <w:lang w:val="ru-RU"/>
        </w:rPr>
        <w:t>м</w:t>
      </w:r>
      <w:r w:rsidR="00AE5316">
        <w:rPr>
          <w:szCs w:val="28"/>
          <w:lang w:val="ru-RU"/>
        </w:rPr>
        <w:t xml:space="preserve"> «голубых фишек». </w:t>
      </w:r>
      <w:r w:rsidR="006B1419">
        <w:rPr>
          <w:szCs w:val="28"/>
          <w:lang w:val="ru-RU"/>
        </w:rPr>
        <w:t xml:space="preserve">Рассмотрены паевые инвестиционные фонды </w:t>
      </w:r>
      <w:r w:rsidR="006B1419" w:rsidRPr="00730424">
        <w:rPr>
          <w:szCs w:val="28"/>
          <w:lang w:val="ru-RU"/>
        </w:rPr>
        <w:t>(</w:t>
      </w:r>
      <w:r w:rsidR="006B1419">
        <w:rPr>
          <w:szCs w:val="28"/>
          <w:lang w:val="ru-RU"/>
        </w:rPr>
        <w:t xml:space="preserve">ПИФ) и биржевые инвестиционные фонды </w:t>
      </w:r>
      <w:r w:rsidR="006B1419" w:rsidRPr="00EA28D4">
        <w:rPr>
          <w:szCs w:val="28"/>
          <w:lang w:val="ru-RU"/>
        </w:rPr>
        <w:t>(</w:t>
      </w:r>
      <w:r w:rsidR="006B1419">
        <w:rPr>
          <w:szCs w:val="28"/>
        </w:rPr>
        <w:t>ETF</w:t>
      </w:r>
      <w:r w:rsidR="006B1419" w:rsidRPr="00EA28D4">
        <w:rPr>
          <w:szCs w:val="28"/>
          <w:lang w:val="ru-RU"/>
        </w:rPr>
        <w:t>)</w:t>
      </w:r>
      <w:r w:rsidR="006B1419">
        <w:rPr>
          <w:szCs w:val="28"/>
          <w:lang w:val="ru-RU"/>
        </w:rPr>
        <w:t xml:space="preserve"> как инструменты частного инвестирования, а также проанализированы их доходности. Приведен инструмент частного инвестирования – инвестиционного страхование жизни, а также рассмотрены его преимущества и недостатки. В заключение был предложен </w:t>
      </w:r>
      <w:r w:rsidR="006B1419">
        <w:rPr>
          <w:rFonts w:cs="Times New Roman"/>
          <w:szCs w:val="28"/>
          <w:lang w:val="ru-RU"/>
        </w:rPr>
        <w:t>вариант структуры инвестиционного портфеля для определенных целей с учетом риска и доходности.</w:t>
      </w:r>
    </w:p>
    <w:p w14:paraId="0DAA5CFC" w14:textId="77777777" w:rsidR="005F5ED4" w:rsidRDefault="005F5ED4" w:rsidP="00617E8B">
      <w:pPr>
        <w:rPr>
          <w:szCs w:val="28"/>
          <w:lang w:val="ru-RU"/>
        </w:rPr>
      </w:pPr>
      <w:r w:rsidRPr="001366AA">
        <w:rPr>
          <w:i/>
          <w:szCs w:val="28"/>
          <w:lang w:val="ru-RU"/>
        </w:rPr>
        <w:t>Ключевые слова</w:t>
      </w:r>
      <w:r w:rsidRPr="00AE5316">
        <w:rPr>
          <w:szCs w:val="28"/>
          <w:lang w:val="ru-RU"/>
        </w:rPr>
        <w:t>: финансовые инвестиции, инвестиционный портфель, доходность, акции, облигации, индексные инструменты.</w:t>
      </w:r>
    </w:p>
    <w:p w14:paraId="5BBDE0EC" w14:textId="77777777" w:rsidR="001366AA" w:rsidRDefault="001366AA" w:rsidP="008567AD">
      <w:pPr>
        <w:jc w:val="left"/>
        <w:rPr>
          <w:szCs w:val="28"/>
          <w:lang w:val="ru-RU"/>
        </w:rPr>
      </w:pPr>
    </w:p>
    <w:p w14:paraId="1E6AB27A" w14:textId="77777777" w:rsidR="008F724C" w:rsidRPr="00650F62" w:rsidRDefault="008F724C" w:rsidP="008F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Cs w:val="28"/>
        </w:rPr>
      </w:pPr>
      <w:r w:rsidRPr="00650F62">
        <w:rPr>
          <w:szCs w:val="28"/>
        </w:rPr>
        <w:t>Unification of the approach to the formation of a portfolio of a private investor in modern conditions</w:t>
      </w:r>
    </w:p>
    <w:p w14:paraId="7E4DA5A5" w14:textId="77777777" w:rsidR="001366AA" w:rsidRPr="001366AA" w:rsidRDefault="001366AA" w:rsidP="008567AD">
      <w:pPr>
        <w:jc w:val="left"/>
        <w:rPr>
          <w:szCs w:val="28"/>
        </w:rPr>
      </w:pPr>
    </w:p>
    <w:p w14:paraId="03D8950B" w14:textId="77777777" w:rsidR="006B1419" w:rsidRPr="006B1419" w:rsidRDefault="005F5ED4" w:rsidP="00617E8B">
      <w:pPr>
        <w:rPr>
          <w:szCs w:val="28"/>
        </w:rPr>
      </w:pPr>
      <w:r w:rsidRPr="001366AA">
        <w:rPr>
          <w:i/>
          <w:szCs w:val="28"/>
        </w:rPr>
        <w:t>Abstract</w:t>
      </w:r>
      <w:r w:rsidRPr="006C0EA7">
        <w:rPr>
          <w:b/>
          <w:szCs w:val="28"/>
        </w:rPr>
        <w:t>.</w:t>
      </w:r>
      <w:r w:rsidRPr="006C0EA7">
        <w:rPr>
          <w:i/>
          <w:szCs w:val="28"/>
        </w:rPr>
        <w:t xml:space="preserve"> </w:t>
      </w:r>
      <w:r w:rsidR="006B1419" w:rsidRPr="001366AA">
        <w:rPr>
          <w:szCs w:val="28"/>
        </w:rPr>
        <w:t xml:space="preserve">The article touches upon the topic of individual investment in modern conditions. The dynamics of the number of individuals in the stock market for the period from 2015 to 2021 is estimated. The main instruments of private investment are presented. The rates on deposits of the largest commercial banks in Russia are analyzed. The stocks with the highest capital gains were reviewed and analyzed. The paper analyzes bonds as an object of private investment and presents the coupon sizes for blue-chip bonds. Mutual investment funds (UIF) and exchange-traded funds (ETF) are considered as instruments of private investment, and their profitability is also analyzed. The tool of private investment - investment life insurance is presented, as well as its advantages and disadvantages are considered. </w:t>
      </w:r>
      <w:r w:rsidR="006B1419" w:rsidRPr="006B1419">
        <w:rPr>
          <w:szCs w:val="28"/>
        </w:rPr>
        <w:t>In conclusion, a variant of the structure of the investment portfolio was proposed for certain purposes, taking into account risk and profitability.</w:t>
      </w:r>
    </w:p>
    <w:p w14:paraId="26DA8244" w14:textId="77777777" w:rsidR="00A7634B" w:rsidRPr="00617E8B" w:rsidRDefault="006B1419" w:rsidP="00617E8B">
      <w:pPr>
        <w:rPr>
          <w:szCs w:val="28"/>
        </w:rPr>
      </w:pPr>
      <w:r w:rsidRPr="001366AA">
        <w:rPr>
          <w:i/>
          <w:szCs w:val="28"/>
        </w:rPr>
        <w:t>Key words</w:t>
      </w:r>
      <w:r w:rsidRPr="006B1419">
        <w:rPr>
          <w:szCs w:val="28"/>
        </w:rPr>
        <w:t>: financial investments, investment portfolio, profitability, stocks, bonds, index instruments.</w:t>
      </w:r>
    </w:p>
    <w:p w14:paraId="27C4382E" w14:textId="77777777" w:rsidR="001366AA" w:rsidRPr="00617E8B" w:rsidRDefault="001366AA" w:rsidP="008567AD">
      <w:pPr>
        <w:jc w:val="left"/>
        <w:rPr>
          <w:szCs w:val="28"/>
        </w:rPr>
      </w:pPr>
    </w:p>
    <w:p w14:paraId="2DAC0F82" w14:textId="77777777" w:rsidR="0025054B" w:rsidRPr="001366AA" w:rsidRDefault="0025054B" w:rsidP="008567AD">
      <w:pPr>
        <w:jc w:val="center"/>
        <w:rPr>
          <w:lang w:val="ru-RU"/>
        </w:rPr>
      </w:pPr>
      <w:r w:rsidRPr="001366AA">
        <w:rPr>
          <w:lang w:val="ru-RU"/>
        </w:rPr>
        <w:t>Введение</w:t>
      </w:r>
    </w:p>
    <w:p w14:paraId="3CDBBD0D" w14:textId="77777777" w:rsidR="00237BAA" w:rsidRDefault="00ED2AA2" w:rsidP="00617E8B">
      <w:pPr>
        <w:rPr>
          <w:lang w:val="ru-RU"/>
        </w:rPr>
      </w:pPr>
      <w:r>
        <w:rPr>
          <w:lang w:val="ru-RU"/>
        </w:rPr>
        <w:t xml:space="preserve">В последние годы все больше физических лиц задумываются об инвестировании. В современных условиях </w:t>
      </w:r>
      <w:r w:rsidR="00074220">
        <w:rPr>
          <w:lang w:val="ru-RU"/>
        </w:rPr>
        <w:t xml:space="preserve">осуществление инвестиций позволяет </w:t>
      </w:r>
      <w:r w:rsidR="00953B9B">
        <w:rPr>
          <w:lang w:val="ru-RU"/>
        </w:rPr>
        <w:t>совершать</w:t>
      </w:r>
      <w:r w:rsidR="00074220">
        <w:rPr>
          <w:lang w:val="ru-RU"/>
        </w:rPr>
        <w:t xml:space="preserve"> крупные покупки, избегая кредитования, обеспечить собственную финансовую «подушку безопасности», </w:t>
      </w:r>
      <w:r w:rsidR="004268F3">
        <w:rPr>
          <w:lang w:val="ru-RU"/>
        </w:rPr>
        <w:t xml:space="preserve">сформировать пенсионный капитал и многое другое. </w:t>
      </w:r>
      <w:r w:rsidR="00340A90">
        <w:rPr>
          <w:lang w:val="ru-RU"/>
        </w:rPr>
        <w:t xml:space="preserve">Сейчас финансовый рынок дает множество возможностей для осуществления частного инвестирования, которые активно используются. Так, на фондовом рынке </w:t>
      </w:r>
      <w:r w:rsidR="00237BAA">
        <w:rPr>
          <w:lang w:val="ru-RU"/>
        </w:rPr>
        <w:t>участников – физических лиц в тысячи раз больше, чем участников – юридических лиц. И при этом, их количество увеличивается огромными темпами (рис. 1)</w:t>
      </w:r>
      <w:r w:rsidR="00BC2FCC">
        <w:rPr>
          <w:lang w:val="ru-RU"/>
        </w:rPr>
        <w:t>, в настоящее время более 10% россиян имеют брокерские счета и занимаются финансовыми инвестициями</w:t>
      </w:r>
      <w:r w:rsidR="00237BAA">
        <w:rPr>
          <w:lang w:val="ru-RU"/>
        </w:rPr>
        <w:t>.</w:t>
      </w:r>
    </w:p>
    <w:p w14:paraId="54F078DC" w14:textId="77777777" w:rsidR="00ED2AA2" w:rsidRDefault="00237BAA" w:rsidP="008567AD">
      <w:pPr>
        <w:jc w:val="left"/>
        <w:rPr>
          <w:lang w:val="ru-RU"/>
        </w:rPr>
      </w:pPr>
      <w:r>
        <w:rPr>
          <w:noProof/>
          <w:lang w:val="ru-RU" w:eastAsia="ru-RU"/>
        </w:rPr>
        <w:drawing>
          <wp:inline distT="0" distB="0" distL="0" distR="0" wp14:anchorId="4E08F351" wp14:editId="486B5A5E">
            <wp:extent cx="5753100" cy="22764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59614C" w14:textId="77777777" w:rsidR="00237BAA" w:rsidRDefault="008567AD" w:rsidP="008567AD">
      <w:pPr>
        <w:jc w:val="left"/>
        <w:rPr>
          <w:lang w:val="ru-RU"/>
        </w:rPr>
      </w:pPr>
      <w:r>
        <w:rPr>
          <w:lang w:val="ru-RU"/>
        </w:rPr>
        <w:lastRenderedPageBreak/>
        <w:t xml:space="preserve">Рисунок 1 </w:t>
      </w:r>
      <w:r w:rsidR="00237BAA">
        <w:rPr>
          <w:lang w:val="ru-RU"/>
        </w:rPr>
        <w:t xml:space="preserve">Динамика количества клиентов – физических лиц, зарегистрированных в системе торгов Московской биржи, тыс. чел. </w:t>
      </w:r>
      <w:r w:rsidR="00237BAA" w:rsidRPr="00FB5E0B">
        <w:rPr>
          <w:lang w:val="ru-RU"/>
        </w:rPr>
        <w:t>[</w:t>
      </w:r>
      <w:r>
        <w:rPr>
          <w:lang w:val="ru-RU"/>
        </w:rPr>
        <w:t>9</w:t>
      </w:r>
      <w:r w:rsidR="00237BAA" w:rsidRPr="00FB5E0B">
        <w:rPr>
          <w:lang w:val="ru-RU"/>
        </w:rPr>
        <w:t>]</w:t>
      </w:r>
    </w:p>
    <w:p w14:paraId="07F65E21" w14:textId="77777777" w:rsidR="00617E8B" w:rsidRDefault="00617E8B" w:rsidP="00617E8B">
      <w:pPr>
        <w:jc w:val="center"/>
        <w:rPr>
          <w:lang w:val="ru-RU"/>
        </w:rPr>
      </w:pPr>
    </w:p>
    <w:p w14:paraId="1185D056" w14:textId="77777777" w:rsidR="0049644C" w:rsidRDefault="00237BAA" w:rsidP="00617E8B">
      <w:pPr>
        <w:jc w:val="center"/>
        <w:rPr>
          <w:lang w:val="ru-RU"/>
        </w:rPr>
      </w:pPr>
      <w:r>
        <w:rPr>
          <w:lang w:val="ru-RU"/>
        </w:rPr>
        <w:t xml:space="preserve">Только с начала 2021 г. количество зарегистрированных в системе торгов физических лиц выросло на 2 млн. чел., а доля активных участников (совершившись хотя бы одну операцию за последний месяц) стабильно составляет 10% от общего числа на протяжении последних лет. Все </w:t>
      </w:r>
      <w:r w:rsidR="00BC2FCC">
        <w:rPr>
          <w:lang w:val="ru-RU"/>
        </w:rPr>
        <w:t xml:space="preserve">это говорит о том, что </w:t>
      </w:r>
      <w:r w:rsidR="005627D9">
        <w:rPr>
          <w:lang w:val="ru-RU"/>
        </w:rPr>
        <w:t>финансовые инвестиции приобретают все большее значение для ч</w:t>
      </w:r>
      <w:r w:rsidR="0049644C">
        <w:rPr>
          <w:lang w:val="ru-RU"/>
        </w:rPr>
        <w:t>еловека в современных условиях.</w:t>
      </w:r>
    </w:p>
    <w:p w14:paraId="55963D7F" w14:textId="77777777" w:rsidR="0049644C" w:rsidRDefault="0049644C" w:rsidP="00617E8B">
      <w:pPr>
        <w:jc w:val="center"/>
        <w:rPr>
          <w:lang w:val="ru-RU"/>
        </w:rPr>
      </w:pPr>
      <w:r>
        <w:rPr>
          <w:lang w:val="ru-RU"/>
        </w:rPr>
        <w:t xml:space="preserve">Развитие финансового рынка позволяет сейчас сформировать </w:t>
      </w:r>
      <w:r w:rsidR="003B2E34">
        <w:rPr>
          <w:lang w:val="ru-RU"/>
        </w:rPr>
        <w:t>инвестиционный портфель под индивидуальные особенности каждого частного инвестора, с учетом пожеланий относительно уровня риска и возможной доходности</w:t>
      </w:r>
      <w:r w:rsidR="00B26BBB">
        <w:rPr>
          <w:lang w:val="ru-RU"/>
        </w:rPr>
        <w:t xml:space="preserve"> </w:t>
      </w:r>
      <w:r w:rsidR="00B26BBB" w:rsidRPr="00B26BBB">
        <w:rPr>
          <w:lang w:val="ru-RU"/>
        </w:rPr>
        <w:t>[</w:t>
      </w:r>
      <w:r w:rsidR="008567AD">
        <w:rPr>
          <w:lang w:val="ru-RU"/>
        </w:rPr>
        <w:t xml:space="preserve">2, </w:t>
      </w:r>
      <w:r w:rsidR="001366AA">
        <w:rPr>
          <w:lang w:val="ru-RU"/>
        </w:rPr>
        <w:t>6</w:t>
      </w:r>
      <w:r w:rsidR="00B26BBB" w:rsidRPr="00B26BBB">
        <w:rPr>
          <w:lang w:val="ru-RU"/>
        </w:rPr>
        <w:t>]</w:t>
      </w:r>
      <w:r w:rsidR="003B2E34">
        <w:rPr>
          <w:lang w:val="ru-RU"/>
        </w:rPr>
        <w:t xml:space="preserve">. </w:t>
      </w:r>
      <w:r w:rsidR="0025054B">
        <w:rPr>
          <w:lang w:val="ru-RU"/>
        </w:rPr>
        <w:t>П</w:t>
      </w:r>
      <w:r w:rsidR="003B2E34">
        <w:rPr>
          <w:lang w:val="ru-RU"/>
        </w:rPr>
        <w:t xml:space="preserve">ри этом необходимо разбираться в различных объектах финансовых инвестиций и </w:t>
      </w:r>
      <w:r w:rsidR="0025054B">
        <w:rPr>
          <w:lang w:val="ru-RU"/>
        </w:rPr>
        <w:t>их функционировании. Все изложенное выше свидетельствует об актуальности исследований в данной области.</w:t>
      </w:r>
    </w:p>
    <w:p w14:paraId="7FC20B32" w14:textId="77777777" w:rsidR="001366AA" w:rsidRDefault="001366AA" w:rsidP="008567AD">
      <w:pPr>
        <w:jc w:val="left"/>
        <w:rPr>
          <w:lang w:val="ru-RU"/>
        </w:rPr>
      </w:pPr>
    </w:p>
    <w:p w14:paraId="52348A1A" w14:textId="77777777" w:rsidR="0025054B" w:rsidRPr="001366AA" w:rsidRDefault="00953B9B" w:rsidP="008567AD">
      <w:pPr>
        <w:ind w:firstLine="0"/>
        <w:jc w:val="center"/>
        <w:rPr>
          <w:lang w:val="ru-RU"/>
        </w:rPr>
      </w:pPr>
      <w:r w:rsidRPr="001366AA">
        <w:rPr>
          <w:lang w:val="ru-RU"/>
        </w:rPr>
        <w:t>Методическая база исследования</w:t>
      </w:r>
    </w:p>
    <w:p w14:paraId="44A2FAE9" w14:textId="77777777" w:rsidR="00953B9B" w:rsidRDefault="00AD3AE9" w:rsidP="00617E8B">
      <w:pPr>
        <w:rPr>
          <w:lang w:val="ru-RU"/>
        </w:rPr>
      </w:pPr>
      <w:r>
        <w:rPr>
          <w:lang w:val="ru-RU"/>
        </w:rPr>
        <w:t xml:space="preserve">Понятие финансовых инвестиций у физических лиц чаще всего ассоциируется с вложением в акции и облигации различных компаний. Однако, </w:t>
      </w:r>
      <w:r w:rsidR="00B07D2F">
        <w:rPr>
          <w:lang w:val="ru-RU"/>
        </w:rPr>
        <w:t>объектов, из которых можно составить эффективный инвестиционный портфель</w:t>
      </w:r>
      <w:r w:rsidR="00953B9B">
        <w:rPr>
          <w:lang w:val="ru-RU"/>
        </w:rPr>
        <w:t>, довольно много</w:t>
      </w:r>
      <w:r w:rsidR="00B07D2F">
        <w:rPr>
          <w:lang w:val="ru-RU"/>
        </w:rPr>
        <w:t>. В настоящее время финансовый рынок предлагает множество инструментов, которые могут быть включены в инвестиционный портфель</w:t>
      </w:r>
      <w:r w:rsidR="00FB5E0B">
        <w:rPr>
          <w:lang w:val="ru-RU"/>
        </w:rPr>
        <w:t xml:space="preserve"> для достижения заявленных параметров в области потенциальных доходности и риска</w:t>
      </w:r>
      <w:r w:rsidR="00B07D2F">
        <w:rPr>
          <w:lang w:val="ru-RU"/>
        </w:rPr>
        <w:t xml:space="preserve">. </w:t>
      </w:r>
      <w:r w:rsidR="00B56847">
        <w:rPr>
          <w:lang w:val="ru-RU"/>
        </w:rPr>
        <w:t xml:space="preserve">В данной работе мы рассмотрим наиболее подходящие объекты для частного инвестирования в современных условиях, а также возможности их комбинирования для создания подходящего инвестиционного портфеля с учетом индивидуальных особенностей каждого частного инвестора. </w:t>
      </w:r>
    </w:p>
    <w:p w14:paraId="3B8092F6" w14:textId="77777777" w:rsidR="00953B9B" w:rsidRDefault="00FB5E0B" w:rsidP="00617E8B">
      <w:pPr>
        <w:rPr>
          <w:rFonts w:cs="Times New Roman"/>
          <w:szCs w:val="28"/>
          <w:lang w:val="ru-RU"/>
        </w:rPr>
      </w:pPr>
      <w:r>
        <w:rPr>
          <w:lang w:val="ru-RU"/>
        </w:rPr>
        <w:t xml:space="preserve">В статье использованы такие методы анализа как логика, дедукция, индукция, аналитический и сравнительный подход. </w:t>
      </w:r>
      <w:r w:rsidRPr="00FB5E0B">
        <w:rPr>
          <w:rFonts w:cs="Times New Roman"/>
          <w:szCs w:val="28"/>
          <w:lang w:val="ru-RU"/>
        </w:rPr>
        <w:t>Предложенн</w:t>
      </w:r>
      <w:r>
        <w:rPr>
          <w:rFonts w:cs="Times New Roman"/>
          <w:szCs w:val="28"/>
          <w:lang w:val="ru-RU"/>
        </w:rPr>
        <w:t>ый</w:t>
      </w:r>
      <w:r w:rsidRPr="00FB5E0B">
        <w:rPr>
          <w:rFonts w:cs="Times New Roman"/>
          <w:szCs w:val="28"/>
          <w:lang w:val="ru-RU"/>
        </w:rPr>
        <w:t xml:space="preserve"> в статье </w:t>
      </w:r>
      <w:r>
        <w:rPr>
          <w:rFonts w:cs="Times New Roman"/>
          <w:szCs w:val="28"/>
          <w:lang w:val="ru-RU"/>
        </w:rPr>
        <w:t xml:space="preserve">подход формирования инвестиционного портфеля для физических лиц опирается на более удобные и сочетаемые </w:t>
      </w:r>
      <w:r w:rsidR="00463E0F">
        <w:rPr>
          <w:rFonts w:cs="Times New Roman"/>
          <w:szCs w:val="28"/>
          <w:lang w:val="ru-RU"/>
        </w:rPr>
        <w:t>между собой инструменты для достижения целей частных инвесторов.</w:t>
      </w:r>
      <w:r w:rsidRPr="00FB5E0B">
        <w:rPr>
          <w:rFonts w:cs="Times New Roman"/>
          <w:szCs w:val="28"/>
          <w:lang w:val="ru-RU"/>
        </w:rPr>
        <w:t xml:space="preserve"> </w:t>
      </w:r>
    </w:p>
    <w:p w14:paraId="4E92CACC" w14:textId="77777777" w:rsidR="001366AA" w:rsidRDefault="001366AA" w:rsidP="008567AD">
      <w:pPr>
        <w:jc w:val="left"/>
        <w:rPr>
          <w:lang w:val="ru-RU"/>
        </w:rPr>
      </w:pPr>
    </w:p>
    <w:p w14:paraId="707ACF5F" w14:textId="77777777" w:rsidR="00953B9B" w:rsidRPr="001366AA" w:rsidRDefault="00953B9B" w:rsidP="008567AD">
      <w:pPr>
        <w:jc w:val="center"/>
        <w:rPr>
          <w:lang w:val="ru-RU"/>
        </w:rPr>
      </w:pPr>
      <w:r w:rsidRPr="001366AA">
        <w:rPr>
          <w:lang w:val="ru-RU"/>
        </w:rPr>
        <w:t>Результаты исследования</w:t>
      </w:r>
    </w:p>
    <w:p w14:paraId="3272527E" w14:textId="77777777" w:rsidR="00AD3AE9" w:rsidRDefault="00B07D2F" w:rsidP="00617E8B">
      <w:pPr>
        <w:rPr>
          <w:lang w:val="ru-RU"/>
        </w:rPr>
      </w:pPr>
      <w:r>
        <w:rPr>
          <w:lang w:val="ru-RU"/>
        </w:rPr>
        <w:t xml:space="preserve">На наш взгляд, к наиболее подходящим </w:t>
      </w:r>
      <w:r w:rsidR="00953B9B">
        <w:rPr>
          <w:lang w:val="ru-RU"/>
        </w:rPr>
        <w:t xml:space="preserve">объектам </w:t>
      </w:r>
      <w:r>
        <w:rPr>
          <w:lang w:val="ru-RU"/>
        </w:rPr>
        <w:t xml:space="preserve">для частных инвестиций относятся: акции, облигации, драгоценные металлы, а также составленные на их основании индексные инструменты, банковские продукты, страхование жизни. Рассмотрим их более подробно. </w:t>
      </w:r>
    </w:p>
    <w:p w14:paraId="66D383AA" w14:textId="77777777" w:rsidR="0009509E" w:rsidRDefault="0009509E" w:rsidP="00617E8B">
      <w:pPr>
        <w:rPr>
          <w:lang w:val="ru-RU"/>
        </w:rPr>
      </w:pPr>
      <w:r>
        <w:rPr>
          <w:lang w:val="ru-RU"/>
        </w:rPr>
        <w:t>Банковские депозиты многими физическими лицами воспринимаются как инструмент для инвестирования. Но если обратиться к анализу доходности данного инструмента, то воспринимать его как способ инвестирова</w:t>
      </w:r>
      <w:r>
        <w:rPr>
          <w:lang w:val="ru-RU"/>
        </w:rPr>
        <w:lastRenderedPageBreak/>
        <w:t xml:space="preserve">ния крайне сложно. В таблице 1 представлены наиболее высокие ставки по депозитам крупнейших банков. </w:t>
      </w:r>
    </w:p>
    <w:p w14:paraId="5B6EED11" w14:textId="77777777" w:rsidR="00617E8B" w:rsidRDefault="00617E8B" w:rsidP="00617E8B">
      <w:pPr>
        <w:rPr>
          <w:szCs w:val="28"/>
          <w:lang w:val="ru-RU"/>
        </w:rPr>
      </w:pPr>
      <w:r>
        <w:rPr>
          <w:lang w:val="ru-RU"/>
        </w:rPr>
        <w:t xml:space="preserve">Представленные в таблице данные свидетельствуют о том, что банковские депозиты едва покрывают официальную инфляцию. Это позволяет рассматривать банковские депозиты как возможность сбережения, что является обязательным для самого процесса инвестирования. </w:t>
      </w:r>
      <w:r>
        <w:rPr>
          <w:szCs w:val="28"/>
          <w:lang w:val="ru-RU"/>
        </w:rPr>
        <w:t>Понятия «сбережения» и «инвестиции»</w:t>
      </w:r>
      <w:r w:rsidRPr="00A54FB7">
        <w:rPr>
          <w:szCs w:val="28"/>
          <w:lang w:val="ru-RU"/>
        </w:rPr>
        <w:t xml:space="preserve"> </w:t>
      </w:r>
      <w:r>
        <w:rPr>
          <w:szCs w:val="28"/>
          <w:lang w:val="ru-RU"/>
        </w:rPr>
        <w:t>неразрывны друг с другом</w:t>
      </w:r>
      <w:r w:rsidRPr="00A54FB7">
        <w:rPr>
          <w:szCs w:val="28"/>
          <w:lang w:val="ru-RU"/>
        </w:rPr>
        <w:t>: одно неизбежно предполагает другое. Так, по мнению Дж. К</w:t>
      </w:r>
      <w:r>
        <w:rPr>
          <w:szCs w:val="28"/>
          <w:lang w:val="ru-RU"/>
        </w:rPr>
        <w:t>ейнса, сбережения и инвестиции «</w:t>
      </w:r>
      <w:r w:rsidRPr="00A54FB7">
        <w:rPr>
          <w:szCs w:val="28"/>
          <w:lang w:val="ru-RU"/>
        </w:rPr>
        <w:t>должны быть равны между собой, поскольку каждая из них равна превышению дохода над по</w:t>
      </w:r>
      <w:r>
        <w:rPr>
          <w:szCs w:val="28"/>
          <w:lang w:val="ru-RU"/>
        </w:rPr>
        <w:t>треблением»</w:t>
      </w:r>
      <w:r w:rsidRPr="00A54FB7">
        <w:rPr>
          <w:szCs w:val="28"/>
          <w:lang w:val="ru-RU"/>
        </w:rPr>
        <w:t xml:space="preserve">. </w:t>
      </w:r>
      <w:r>
        <w:rPr>
          <w:szCs w:val="28"/>
          <w:lang w:val="ru-RU"/>
        </w:rPr>
        <w:t>С</w:t>
      </w:r>
      <w:r w:rsidRPr="00A54FB7">
        <w:rPr>
          <w:szCs w:val="28"/>
          <w:lang w:val="ru-RU"/>
        </w:rPr>
        <w:t>бережения являются необходимым звеном инвестиционного процесса. Инвестиции предполагают сбережения. Но не все сбережения становятся инвестициями.</w:t>
      </w:r>
    </w:p>
    <w:p w14:paraId="49899CFC" w14:textId="77777777" w:rsidR="00617E8B" w:rsidRDefault="00617E8B" w:rsidP="00617E8B">
      <w:pPr>
        <w:rPr>
          <w:lang w:val="ru-RU"/>
        </w:rPr>
      </w:pPr>
    </w:p>
    <w:p w14:paraId="3F585A65" w14:textId="77777777" w:rsidR="0009509E" w:rsidRPr="0009509E" w:rsidRDefault="0009509E" w:rsidP="008567AD">
      <w:pPr>
        <w:jc w:val="left"/>
        <w:rPr>
          <w:lang w:val="ru-RU"/>
        </w:rPr>
      </w:pPr>
      <w:r>
        <w:rPr>
          <w:lang w:val="ru-RU"/>
        </w:rPr>
        <w:t>Таблица 1</w:t>
      </w:r>
      <w:r w:rsidR="00AE5316">
        <w:rPr>
          <w:lang w:val="ru-RU"/>
        </w:rPr>
        <w:t xml:space="preserve"> </w:t>
      </w:r>
      <w:r>
        <w:rPr>
          <w:lang w:val="ru-RU"/>
        </w:rPr>
        <w:t xml:space="preserve">Ставки по депозитам крупнейших банков </w:t>
      </w:r>
      <w:r w:rsidRPr="0009509E">
        <w:rPr>
          <w:lang w:val="ru-RU"/>
        </w:rPr>
        <w:t>[</w:t>
      </w:r>
      <w:r w:rsidR="00431223">
        <w:rPr>
          <w:lang w:val="ru-RU"/>
        </w:rPr>
        <w:t>11</w:t>
      </w:r>
      <w:r w:rsidRPr="0009509E">
        <w:rPr>
          <w:lang w:val="ru-RU"/>
        </w:rPr>
        <w:t>]</w:t>
      </w:r>
    </w:p>
    <w:tbl>
      <w:tblPr>
        <w:tblStyle w:val="a8"/>
        <w:tblW w:w="0" w:type="auto"/>
        <w:tblLook w:val="04A0" w:firstRow="1" w:lastRow="0" w:firstColumn="1" w:lastColumn="0" w:noHBand="0" w:noVBand="1"/>
      </w:tblPr>
      <w:tblGrid>
        <w:gridCol w:w="2268"/>
        <w:gridCol w:w="2267"/>
        <w:gridCol w:w="2260"/>
        <w:gridCol w:w="2265"/>
      </w:tblGrid>
      <w:tr w:rsidR="0009509E" w:rsidRPr="0009509E" w14:paraId="0EF3ED6C" w14:textId="77777777" w:rsidTr="00617E8B">
        <w:tc>
          <w:tcPr>
            <w:tcW w:w="2321" w:type="dxa"/>
            <w:vAlign w:val="center"/>
          </w:tcPr>
          <w:p w14:paraId="3B90AF48" w14:textId="77777777" w:rsidR="0009509E" w:rsidRPr="0009509E" w:rsidRDefault="0009509E" w:rsidP="00617E8B">
            <w:pPr>
              <w:ind w:firstLine="0"/>
              <w:jc w:val="center"/>
              <w:rPr>
                <w:sz w:val="24"/>
                <w:szCs w:val="24"/>
                <w:lang w:val="ru-RU"/>
              </w:rPr>
            </w:pPr>
            <w:r>
              <w:rPr>
                <w:sz w:val="24"/>
                <w:szCs w:val="24"/>
                <w:lang w:val="ru-RU"/>
              </w:rPr>
              <w:t>Банк</w:t>
            </w:r>
          </w:p>
        </w:tc>
        <w:tc>
          <w:tcPr>
            <w:tcW w:w="2321" w:type="dxa"/>
            <w:vAlign w:val="center"/>
          </w:tcPr>
          <w:p w14:paraId="38A127C9" w14:textId="77777777" w:rsidR="0009509E" w:rsidRPr="0009509E" w:rsidRDefault="0009509E" w:rsidP="00617E8B">
            <w:pPr>
              <w:ind w:firstLine="0"/>
              <w:jc w:val="center"/>
              <w:rPr>
                <w:sz w:val="24"/>
                <w:szCs w:val="24"/>
                <w:lang w:val="ru-RU"/>
              </w:rPr>
            </w:pPr>
            <w:r>
              <w:rPr>
                <w:sz w:val="24"/>
                <w:szCs w:val="24"/>
                <w:lang w:val="ru-RU"/>
              </w:rPr>
              <w:t>Ставка, %</w:t>
            </w:r>
          </w:p>
        </w:tc>
        <w:tc>
          <w:tcPr>
            <w:tcW w:w="2322" w:type="dxa"/>
            <w:vAlign w:val="center"/>
          </w:tcPr>
          <w:p w14:paraId="19802090" w14:textId="77777777" w:rsidR="0009509E" w:rsidRPr="0009509E" w:rsidRDefault="0009509E" w:rsidP="00617E8B">
            <w:pPr>
              <w:ind w:firstLine="0"/>
              <w:jc w:val="center"/>
              <w:rPr>
                <w:sz w:val="24"/>
                <w:szCs w:val="24"/>
                <w:lang w:val="ru-RU"/>
              </w:rPr>
            </w:pPr>
            <w:r>
              <w:rPr>
                <w:sz w:val="24"/>
                <w:szCs w:val="24"/>
                <w:lang w:val="ru-RU"/>
              </w:rPr>
              <w:t>Минимальный срок, дни</w:t>
            </w:r>
          </w:p>
        </w:tc>
        <w:tc>
          <w:tcPr>
            <w:tcW w:w="2322" w:type="dxa"/>
            <w:vAlign w:val="center"/>
          </w:tcPr>
          <w:p w14:paraId="636E0648" w14:textId="77777777" w:rsidR="0009509E" w:rsidRPr="0009509E" w:rsidRDefault="0009509E" w:rsidP="00617E8B">
            <w:pPr>
              <w:ind w:firstLine="0"/>
              <w:jc w:val="center"/>
              <w:rPr>
                <w:sz w:val="24"/>
                <w:szCs w:val="24"/>
                <w:lang w:val="ru-RU"/>
              </w:rPr>
            </w:pPr>
            <w:r>
              <w:rPr>
                <w:sz w:val="24"/>
                <w:szCs w:val="24"/>
                <w:lang w:val="ru-RU"/>
              </w:rPr>
              <w:t>Минимальная сумма, руб.</w:t>
            </w:r>
          </w:p>
        </w:tc>
      </w:tr>
      <w:tr w:rsidR="0009509E" w:rsidRPr="0009509E" w14:paraId="3FD249D6" w14:textId="77777777" w:rsidTr="0009509E">
        <w:tc>
          <w:tcPr>
            <w:tcW w:w="2321" w:type="dxa"/>
          </w:tcPr>
          <w:p w14:paraId="3EE805FA" w14:textId="77777777" w:rsidR="0009509E" w:rsidRPr="0009509E" w:rsidRDefault="0009509E" w:rsidP="00617E8B">
            <w:pPr>
              <w:ind w:firstLine="0"/>
              <w:jc w:val="left"/>
              <w:rPr>
                <w:sz w:val="24"/>
                <w:szCs w:val="24"/>
                <w:lang w:val="ru-RU"/>
              </w:rPr>
            </w:pPr>
            <w:r>
              <w:rPr>
                <w:sz w:val="24"/>
                <w:szCs w:val="24"/>
                <w:lang w:val="ru-RU"/>
              </w:rPr>
              <w:t>Газпром</w:t>
            </w:r>
          </w:p>
        </w:tc>
        <w:tc>
          <w:tcPr>
            <w:tcW w:w="2321" w:type="dxa"/>
            <w:vAlign w:val="center"/>
          </w:tcPr>
          <w:p w14:paraId="663A1512" w14:textId="77777777" w:rsidR="0009509E" w:rsidRPr="0009509E" w:rsidRDefault="0009509E" w:rsidP="00617E8B">
            <w:pPr>
              <w:ind w:firstLine="0"/>
              <w:jc w:val="center"/>
              <w:rPr>
                <w:sz w:val="24"/>
                <w:szCs w:val="24"/>
                <w:lang w:val="ru-RU"/>
              </w:rPr>
            </w:pPr>
            <w:r>
              <w:rPr>
                <w:sz w:val="24"/>
                <w:szCs w:val="24"/>
                <w:lang w:val="ru-RU"/>
              </w:rPr>
              <w:t>6</w:t>
            </w:r>
          </w:p>
        </w:tc>
        <w:tc>
          <w:tcPr>
            <w:tcW w:w="2322" w:type="dxa"/>
            <w:vAlign w:val="center"/>
          </w:tcPr>
          <w:p w14:paraId="5D4737CB" w14:textId="77777777" w:rsidR="0009509E" w:rsidRPr="0009509E" w:rsidRDefault="0009509E" w:rsidP="00617E8B">
            <w:pPr>
              <w:ind w:firstLine="0"/>
              <w:jc w:val="center"/>
              <w:rPr>
                <w:sz w:val="24"/>
                <w:szCs w:val="24"/>
                <w:lang w:val="ru-RU"/>
              </w:rPr>
            </w:pPr>
            <w:r>
              <w:rPr>
                <w:sz w:val="24"/>
                <w:szCs w:val="24"/>
                <w:lang w:val="ru-RU"/>
              </w:rPr>
              <w:t>30</w:t>
            </w:r>
          </w:p>
        </w:tc>
        <w:tc>
          <w:tcPr>
            <w:tcW w:w="2322" w:type="dxa"/>
            <w:vAlign w:val="center"/>
          </w:tcPr>
          <w:p w14:paraId="103441F0" w14:textId="77777777" w:rsidR="0009509E" w:rsidRPr="0009509E" w:rsidRDefault="0009509E" w:rsidP="00617E8B">
            <w:pPr>
              <w:ind w:firstLine="0"/>
              <w:jc w:val="center"/>
              <w:rPr>
                <w:sz w:val="24"/>
                <w:szCs w:val="24"/>
                <w:lang w:val="ru-RU"/>
              </w:rPr>
            </w:pPr>
            <w:r>
              <w:rPr>
                <w:sz w:val="24"/>
                <w:szCs w:val="24"/>
                <w:lang w:val="ru-RU"/>
              </w:rPr>
              <w:t>1</w:t>
            </w:r>
          </w:p>
        </w:tc>
      </w:tr>
      <w:tr w:rsidR="0009509E" w:rsidRPr="0009509E" w14:paraId="748845A0" w14:textId="77777777" w:rsidTr="0009509E">
        <w:tc>
          <w:tcPr>
            <w:tcW w:w="2321" w:type="dxa"/>
          </w:tcPr>
          <w:p w14:paraId="016772AF" w14:textId="77777777" w:rsidR="0009509E" w:rsidRPr="0009509E" w:rsidRDefault="0009509E" w:rsidP="00617E8B">
            <w:pPr>
              <w:ind w:firstLine="0"/>
              <w:jc w:val="left"/>
              <w:rPr>
                <w:sz w:val="24"/>
                <w:szCs w:val="24"/>
                <w:lang w:val="ru-RU"/>
              </w:rPr>
            </w:pPr>
            <w:proofErr w:type="spellStart"/>
            <w:r>
              <w:rPr>
                <w:sz w:val="24"/>
                <w:szCs w:val="24"/>
                <w:lang w:val="ru-RU"/>
              </w:rPr>
              <w:t>КредитЕвропаБанк</w:t>
            </w:r>
            <w:proofErr w:type="spellEnd"/>
          </w:p>
        </w:tc>
        <w:tc>
          <w:tcPr>
            <w:tcW w:w="2321" w:type="dxa"/>
            <w:vAlign w:val="center"/>
          </w:tcPr>
          <w:p w14:paraId="78A7522D" w14:textId="77777777" w:rsidR="0009509E" w:rsidRPr="0009509E" w:rsidRDefault="0009509E" w:rsidP="00617E8B">
            <w:pPr>
              <w:ind w:firstLine="0"/>
              <w:jc w:val="center"/>
              <w:rPr>
                <w:sz w:val="24"/>
                <w:szCs w:val="24"/>
                <w:lang w:val="ru-RU"/>
              </w:rPr>
            </w:pPr>
            <w:r>
              <w:rPr>
                <w:sz w:val="24"/>
                <w:szCs w:val="24"/>
                <w:lang w:val="ru-RU"/>
              </w:rPr>
              <w:t>6</w:t>
            </w:r>
          </w:p>
        </w:tc>
        <w:tc>
          <w:tcPr>
            <w:tcW w:w="2322" w:type="dxa"/>
            <w:vAlign w:val="center"/>
          </w:tcPr>
          <w:p w14:paraId="460887CD" w14:textId="77777777" w:rsidR="0009509E" w:rsidRPr="0009509E" w:rsidRDefault="0009509E" w:rsidP="00617E8B">
            <w:pPr>
              <w:ind w:firstLine="0"/>
              <w:jc w:val="center"/>
              <w:rPr>
                <w:sz w:val="24"/>
                <w:szCs w:val="24"/>
                <w:lang w:val="ru-RU"/>
              </w:rPr>
            </w:pPr>
            <w:r>
              <w:rPr>
                <w:sz w:val="24"/>
                <w:szCs w:val="24"/>
                <w:lang w:val="ru-RU"/>
              </w:rPr>
              <w:t>1098</w:t>
            </w:r>
          </w:p>
        </w:tc>
        <w:tc>
          <w:tcPr>
            <w:tcW w:w="2322" w:type="dxa"/>
            <w:vAlign w:val="center"/>
          </w:tcPr>
          <w:p w14:paraId="504EA7CD" w14:textId="77777777" w:rsidR="0009509E" w:rsidRPr="0009509E" w:rsidRDefault="0009509E" w:rsidP="00617E8B">
            <w:pPr>
              <w:ind w:firstLine="0"/>
              <w:jc w:val="center"/>
              <w:rPr>
                <w:sz w:val="24"/>
                <w:szCs w:val="24"/>
                <w:lang w:val="ru-RU"/>
              </w:rPr>
            </w:pPr>
            <w:r>
              <w:rPr>
                <w:sz w:val="24"/>
                <w:szCs w:val="24"/>
                <w:lang w:val="ru-RU"/>
              </w:rPr>
              <w:t>100 000</w:t>
            </w:r>
          </w:p>
        </w:tc>
      </w:tr>
      <w:tr w:rsidR="0009509E" w:rsidRPr="0009509E" w14:paraId="3086CAE3" w14:textId="77777777" w:rsidTr="0009509E">
        <w:tc>
          <w:tcPr>
            <w:tcW w:w="2321" w:type="dxa"/>
          </w:tcPr>
          <w:p w14:paraId="2AE40961" w14:textId="77777777" w:rsidR="0009509E" w:rsidRPr="0009509E" w:rsidRDefault="0009509E" w:rsidP="00617E8B">
            <w:pPr>
              <w:ind w:firstLine="0"/>
              <w:jc w:val="left"/>
              <w:rPr>
                <w:sz w:val="24"/>
                <w:szCs w:val="24"/>
                <w:lang w:val="ru-RU"/>
              </w:rPr>
            </w:pPr>
            <w:r>
              <w:rPr>
                <w:sz w:val="24"/>
                <w:szCs w:val="24"/>
                <w:lang w:val="ru-RU"/>
              </w:rPr>
              <w:t xml:space="preserve">Уральский банк </w:t>
            </w:r>
          </w:p>
        </w:tc>
        <w:tc>
          <w:tcPr>
            <w:tcW w:w="2321" w:type="dxa"/>
            <w:vAlign w:val="center"/>
          </w:tcPr>
          <w:p w14:paraId="0948AAA1" w14:textId="77777777" w:rsidR="0009509E" w:rsidRPr="0009509E" w:rsidRDefault="0009509E" w:rsidP="00617E8B">
            <w:pPr>
              <w:ind w:firstLine="0"/>
              <w:jc w:val="center"/>
              <w:rPr>
                <w:sz w:val="24"/>
                <w:szCs w:val="24"/>
                <w:lang w:val="ru-RU"/>
              </w:rPr>
            </w:pPr>
            <w:r>
              <w:rPr>
                <w:sz w:val="24"/>
                <w:szCs w:val="24"/>
                <w:lang w:val="ru-RU"/>
              </w:rPr>
              <w:t>5,3</w:t>
            </w:r>
          </w:p>
        </w:tc>
        <w:tc>
          <w:tcPr>
            <w:tcW w:w="2322" w:type="dxa"/>
            <w:vAlign w:val="center"/>
          </w:tcPr>
          <w:p w14:paraId="43C6948A" w14:textId="77777777" w:rsidR="0009509E" w:rsidRPr="0009509E" w:rsidRDefault="0009509E" w:rsidP="00617E8B">
            <w:pPr>
              <w:ind w:firstLine="0"/>
              <w:jc w:val="center"/>
              <w:rPr>
                <w:sz w:val="24"/>
                <w:szCs w:val="24"/>
                <w:lang w:val="ru-RU"/>
              </w:rPr>
            </w:pPr>
            <w:r>
              <w:rPr>
                <w:sz w:val="24"/>
                <w:szCs w:val="24"/>
                <w:lang w:val="ru-RU"/>
              </w:rPr>
              <w:t>300</w:t>
            </w:r>
          </w:p>
        </w:tc>
        <w:tc>
          <w:tcPr>
            <w:tcW w:w="2322" w:type="dxa"/>
            <w:vAlign w:val="center"/>
          </w:tcPr>
          <w:p w14:paraId="343D58DC" w14:textId="77777777" w:rsidR="0009509E" w:rsidRPr="0009509E" w:rsidRDefault="0009509E" w:rsidP="00617E8B">
            <w:pPr>
              <w:ind w:firstLine="0"/>
              <w:jc w:val="center"/>
              <w:rPr>
                <w:sz w:val="24"/>
                <w:szCs w:val="24"/>
                <w:lang w:val="ru-RU"/>
              </w:rPr>
            </w:pPr>
            <w:r>
              <w:rPr>
                <w:sz w:val="24"/>
                <w:szCs w:val="24"/>
                <w:lang w:val="ru-RU"/>
              </w:rPr>
              <w:t>50 000</w:t>
            </w:r>
          </w:p>
        </w:tc>
      </w:tr>
      <w:tr w:rsidR="0009509E" w:rsidRPr="0009509E" w14:paraId="29D7DE21" w14:textId="77777777" w:rsidTr="0009509E">
        <w:tc>
          <w:tcPr>
            <w:tcW w:w="2321" w:type="dxa"/>
          </w:tcPr>
          <w:p w14:paraId="3E222D92" w14:textId="77777777" w:rsidR="0009509E" w:rsidRPr="0009509E" w:rsidRDefault="0009509E" w:rsidP="00617E8B">
            <w:pPr>
              <w:ind w:firstLine="0"/>
              <w:jc w:val="left"/>
              <w:rPr>
                <w:sz w:val="24"/>
                <w:szCs w:val="24"/>
                <w:lang w:val="ru-RU"/>
              </w:rPr>
            </w:pPr>
            <w:r>
              <w:rPr>
                <w:sz w:val="24"/>
                <w:szCs w:val="24"/>
                <w:lang w:val="ru-RU"/>
              </w:rPr>
              <w:t>Тинькофф</w:t>
            </w:r>
          </w:p>
        </w:tc>
        <w:tc>
          <w:tcPr>
            <w:tcW w:w="2321" w:type="dxa"/>
            <w:vAlign w:val="center"/>
          </w:tcPr>
          <w:p w14:paraId="403B2257" w14:textId="77777777" w:rsidR="0009509E" w:rsidRPr="0009509E" w:rsidRDefault="0009509E" w:rsidP="00617E8B">
            <w:pPr>
              <w:ind w:firstLine="0"/>
              <w:jc w:val="center"/>
              <w:rPr>
                <w:sz w:val="24"/>
                <w:szCs w:val="24"/>
                <w:lang w:val="ru-RU"/>
              </w:rPr>
            </w:pPr>
            <w:r>
              <w:rPr>
                <w:sz w:val="24"/>
                <w:szCs w:val="24"/>
                <w:lang w:val="ru-RU"/>
              </w:rPr>
              <w:t>3,52-4,7</w:t>
            </w:r>
          </w:p>
        </w:tc>
        <w:tc>
          <w:tcPr>
            <w:tcW w:w="2322" w:type="dxa"/>
            <w:vAlign w:val="center"/>
          </w:tcPr>
          <w:p w14:paraId="37A13773" w14:textId="77777777" w:rsidR="0009509E" w:rsidRPr="0009509E" w:rsidRDefault="0009509E" w:rsidP="00617E8B">
            <w:pPr>
              <w:ind w:firstLine="0"/>
              <w:jc w:val="center"/>
              <w:rPr>
                <w:sz w:val="24"/>
                <w:szCs w:val="24"/>
                <w:lang w:val="ru-RU"/>
              </w:rPr>
            </w:pPr>
            <w:r>
              <w:rPr>
                <w:sz w:val="24"/>
                <w:szCs w:val="24"/>
                <w:lang w:val="ru-RU"/>
              </w:rPr>
              <w:t>91-730</w:t>
            </w:r>
          </w:p>
        </w:tc>
        <w:tc>
          <w:tcPr>
            <w:tcW w:w="2322" w:type="dxa"/>
            <w:vAlign w:val="center"/>
          </w:tcPr>
          <w:p w14:paraId="3ED91A6F" w14:textId="77777777" w:rsidR="0009509E" w:rsidRPr="0009509E" w:rsidRDefault="0009509E" w:rsidP="00617E8B">
            <w:pPr>
              <w:ind w:firstLine="0"/>
              <w:jc w:val="center"/>
              <w:rPr>
                <w:sz w:val="24"/>
                <w:szCs w:val="24"/>
                <w:lang w:val="ru-RU"/>
              </w:rPr>
            </w:pPr>
            <w:r>
              <w:rPr>
                <w:sz w:val="24"/>
                <w:szCs w:val="24"/>
                <w:lang w:val="ru-RU"/>
              </w:rPr>
              <w:t>50 000</w:t>
            </w:r>
          </w:p>
        </w:tc>
      </w:tr>
      <w:tr w:rsidR="0009509E" w:rsidRPr="0009509E" w14:paraId="32401BA7" w14:textId="77777777" w:rsidTr="0009509E">
        <w:tc>
          <w:tcPr>
            <w:tcW w:w="2321" w:type="dxa"/>
          </w:tcPr>
          <w:p w14:paraId="59716E9B" w14:textId="77777777" w:rsidR="0009509E" w:rsidRPr="0009509E" w:rsidRDefault="0009509E" w:rsidP="00617E8B">
            <w:pPr>
              <w:ind w:firstLine="0"/>
              <w:jc w:val="left"/>
              <w:rPr>
                <w:sz w:val="24"/>
                <w:szCs w:val="24"/>
                <w:lang w:val="ru-RU"/>
              </w:rPr>
            </w:pPr>
            <w:proofErr w:type="spellStart"/>
            <w:r>
              <w:rPr>
                <w:sz w:val="24"/>
                <w:szCs w:val="24"/>
                <w:lang w:val="ru-RU"/>
              </w:rPr>
              <w:t>РоссельхозБанк</w:t>
            </w:r>
            <w:proofErr w:type="spellEnd"/>
          </w:p>
        </w:tc>
        <w:tc>
          <w:tcPr>
            <w:tcW w:w="2321" w:type="dxa"/>
            <w:vAlign w:val="center"/>
          </w:tcPr>
          <w:p w14:paraId="6FAD093F" w14:textId="77777777" w:rsidR="0009509E" w:rsidRPr="0009509E" w:rsidRDefault="0009509E" w:rsidP="00617E8B">
            <w:pPr>
              <w:ind w:firstLine="0"/>
              <w:jc w:val="center"/>
              <w:rPr>
                <w:sz w:val="24"/>
                <w:szCs w:val="24"/>
                <w:lang w:val="ru-RU"/>
              </w:rPr>
            </w:pPr>
            <w:r>
              <w:rPr>
                <w:sz w:val="24"/>
                <w:szCs w:val="24"/>
                <w:lang w:val="ru-RU"/>
              </w:rPr>
              <w:t>4,5</w:t>
            </w:r>
          </w:p>
        </w:tc>
        <w:tc>
          <w:tcPr>
            <w:tcW w:w="2322" w:type="dxa"/>
            <w:vAlign w:val="center"/>
          </w:tcPr>
          <w:p w14:paraId="5C48A707" w14:textId="77777777" w:rsidR="0009509E" w:rsidRPr="0009509E" w:rsidRDefault="0009509E" w:rsidP="00617E8B">
            <w:pPr>
              <w:ind w:firstLine="0"/>
              <w:jc w:val="center"/>
              <w:rPr>
                <w:sz w:val="24"/>
                <w:szCs w:val="24"/>
                <w:lang w:val="ru-RU"/>
              </w:rPr>
            </w:pPr>
            <w:r>
              <w:rPr>
                <w:sz w:val="24"/>
                <w:szCs w:val="24"/>
                <w:lang w:val="ru-RU"/>
              </w:rPr>
              <w:t>540</w:t>
            </w:r>
          </w:p>
        </w:tc>
        <w:tc>
          <w:tcPr>
            <w:tcW w:w="2322" w:type="dxa"/>
            <w:vAlign w:val="center"/>
          </w:tcPr>
          <w:p w14:paraId="6A3C9C2B" w14:textId="77777777" w:rsidR="0009509E" w:rsidRPr="0009509E" w:rsidRDefault="0009509E" w:rsidP="00617E8B">
            <w:pPr>
              <w:ind w:firstLine="0"/>
              <w:jc w:val="center"/>
              <w:rPr>
                <w:sz w:val="24"/>
                <w:szCs w:val="24"/>
                <w:lang w:val="ru-RU"/>
              </w:rPr>
            </w:pPr>
            <w:r>
              <w:rPr>
                <w:sz w:val="24"/>
                <w:szCs w:val="24"/>
                <w:lang w:val="ru-RU"/>
              </w:rPr>
              <w:t>10 000</w:t>
            </w:r>
          </w:p>
        </w:tc>
      </w:tr>
      <w:tr w:rsidR="0009509E" w:rsidRPr="0009509E" w14:paraId="1D72FC8F" w14:textId="77777777" w:rsidTr="0009509E">
        <w:tc>
          <w:tcPr>
            <w:tcW w:w="2321" w:type="dxa"/>
          </w:tcPr>
          <w:p w14:paraId="60719D13" w14:textId="77777777" w:rsidR="0009509E" w:rsidRPr="0009509E" w:rsidRDefault="0009509E" w:rsidP="00617E8B">
            <w:pPr>
              <w:ind w:firstLine="0"/>
              <w:jc w:val="left"/>
              <w:rPr>
                <w:sz w:val="24"/>
                <w:szCs w:val="24"/>
                <w:lang w:val="ru-RU"/>
              </w:rPr>
            </w:pPr>
            <w:proofErr w:type="spellStart"/>
            <w:r>
              <w:rPr>
                <w:sz w:val="24"/>
                <w:szCs w:val="24"/>
                <w:lang w:val="ru-RU"/>
              </w:rPr>
              <w:t>РГСБанк</w:t>
            </w:r>
            <w:proofErr w:type="spellEnd"/>
          </w:p>
        </w:tc>
        <w:tc>
          <w:tcPr>
            <w:tcW w:w="2321" w:type="dxa"/>
            <w:vAlign w:val="center"/>
          </w:tcPr>
          <w:p w14:paraId="01A3BFB7" w14:textId="77777777" w:rsidR="0009509E" w:rsidRPr="0009509E" w:rsidRDefault="0009509E" w:rsidP="00617E8B">
            <w:pPr>
              <w:ind w:firstLine="0"/>
              <w:jc w:val="center"/>
              <w:rPr>
                <w:sz w:val="24"/>
                <w:szCs w:val="24"/>
                <w:lang w:val="ru-RU"/>
              </w:rPr>
            </w:pPr>
            <w:r>
              <w:rPr>
                <w:sz w:val="24"/>
                <w:szCs w:val="24"/>
                <w:lang w:val="ru-RU"/>
              </w:rPr>
              <w:t>4,1-6,1</w:t>
            </w:r>
          </w:p>
        </w:tc>
        <w:tc>
          <w:tcPr>
            <w:tcW w:w="2322" w:type="dxa"/>
            <w:vAlign w:val="center"/>
          </w:tcPr>
          <w:p w14:paraId="01FE92D8" w14:textId="77777777" w:rsidR="0009509E" w:rsidRPr="0009509E" w:rsidRDefault="0009509E" w:rsidP="00617E8B">
            <w:pPr>
              <w:ind w:firstLine="0"/>
              <w:jc w:val="center"/>
              <w:rPr>
                <w:sz w:val="24"/>
                <w:szCs w:val="24"/>
                <w:lang w:val="ru-RU"/>
              </w:rPr>
            </w:pPr>
            <w:r>
              <w:rPr>
                <w:sz w:val="24"/>
                <w:szCs w:val="24"/>
                <w:lang w:val="ru-RU"/>
              </w:rPr>
              <w:t>30</w:t>
            </w:r>
          </w:p>
        </w:tc>
        <w:tc>
          <w:tcPr>
            <w:tcW w:w="2322" w:type="dxa"/>
            <w:vAlign w:val="center"/>
          </w:tcPr>
          <w:p w14:paraId="1E542743" w14:textId="77777777" w:rsidR="0009509E" w:rsidRPr="0009509E" w:rsidRDefault="0009509E" w:rsidP="00617E8B">
            <w:pPr>
              <w:ind w:firstLine="0"/>
              <w:jc w:val="center"/>
              <w:rPr>
                <w:sz w:val="24"/>
                <w:szCs w:val="24"/>
                <w:lang w:val="ru-RU"/>
              </w:rPr>
            </w:pPr>
            <w:r>
              <w:rPr>
                <w:sz w:val="24"/>
                <w:szCs w:val="24"/>
                <w:lang w:val="ru-RU"/>
              </w:rPr>
              <w:t>1 000</w:t>
            </w:r>
          </w:p>
        </w:tc>
      </w:tr>
      <w:tr w:rsidR="0009509E" w:rsidRPr="0009509E" w14:paraId="2E015D1D" w14:textId="77777777" w:rsidTr="0009509E">
        <w:tc>
          <w:tcPr>
            <w:tcW w:w="2321" w:type="dxa"/>
          </w:tcPr>
          <w:p w14:paraId="5F4FC284" w14:textId="77777777" w:rsidR="0009509E" w:rsidRPr="0009509E" w:rsidRDefault="0009509E" w:rsidP="00617E8B">
            <w:pPr>
              <w:ind w:firstLine="0"/>
              <w:jc w:val="left"/>
              <w:rPr>
                <w:sz w:val="24"/>
                <w:szCs w:val="24"/>
                <w:lang w:val="ru-RU"/>
              </w:rPr>
            </w:pPr>
            <w:r>
              <w:rPr>
                <w:sz w:val="24"/>
                <w:szCs w:val="24"/>
                <w:lang w:val="ru-RU"/>
              </w:rPr>
              <w:t>Райффайзен Банк</w:t>
            </w:r>
          </w:p>
        </w:tc>
        <w:tc>
          <w:tcPr>
            <w:tcW w:w="2321" w:type="dxa"/>
            <w:vAlign w:val="center"/>
          </w:tcPr>
          <w:p w14:paraId="11E62BDE" w14:textId="77777777" w:rsidR="0009509E" w:rsidRPr="0009509E" w:rsidRDefault="0009509E" w:rsidP="00617E8B">
            <w:pPr>
              <w:ind w:firstLine="0"/>
              <w:jc w:val="center"/>
              <w:rPr>
                <w:sz w:val="24"/>
                <w:szCs w:val="24"/>
                <w:lang w:val="ru-RU"/>
              </w:rPr>
            </w:pPr>
            <w:r>
              <w:rPr>
                <w:sz w:val="24"/>
                <w:szCs w:val="24"/>
                <w:lang w:val="ru-RU"/>
              </w:rPr>
              <w:t>4</w:t>
            </w:r>
          </w:p>
        </w:tc>
        <w:tc>
          <w:tcPr>
            <w:tcW w:w="2322" w:type="dxa"/>
            <w:vAlign w:val="center"/>
          </w:tcPr>
          <w:p w14:paraId="462DA0A4" w14:textId="77777777" w:rsidR="0009509E" w:rsidRPr="0009509E" w:rsidRDefault="0009509E" w:rsidP="00617E8B">
            <w:pPr>
              <w:ind w:firstLine="0"/>
              <w:jc w:val="center"/>
              <w:rPr>
                <w:sz w:val="24"/>
                <w:szCs w:val="24"/>
                <w:lang w:val="ru-RU"/>
              </w:rPr>
            </w:pPr>
            <w:r>
              <w:rPr>
                <w:sz w:val="24"/>
                <w:szCs w:val="24"/>
                <w:lang w:val="ru-RU"/>
              </w:rPr>
              <w:t>30</w:t>
            </w:r>
          </w:p>
        </w:tc>
        <w:tc>
          <w:tcPr>
            <w:tcW w:w="2322" w:type="dxa"/>
            <w:vAlign w:val="center"/>
          </w:tcPr>
          <w:p w14:paraId="5F7887DF" w14:textId="77777777" w:rsidR="0009509E" w:rsidRPr="0009509E" w:rsidRDefault="0009509E" w:rsidP="00617E8B">
            <w:pPr>
              <w:ind w:firstLine="0"/>
              <w:jc w:val="center"/>
              <w:rPr>
                <w:sz w:val="24"/>
                <w:szCs w:val="24"/>
                <w:lang w:val="ru-RU"/>
              </w:rPr>
            </w:pPr>
            <w:r>
              <w:rPr>
                <w:sz w:val="24"/>
                <w:szCs w:val="24"/>
                <w:lang w:val="ru-RU"/>
              </w:rPr>
              <w:t>1</w:t>
            </w:r>
          </w:p>
        </w:tc>
      </w:tr>
    </w:tbl>
    <w:p w14:paraId="055DF8FB" w14:textId="77777777" w:rsidR="00617E8B" w:rsidRDefault="00617E8B" w:rsidP="00617E8B">
      <w:pPr>
        <w:rPr>
          <w:szCs w:val="28"/>
          <w:lang w:val="ru-RU"/>
        </w:rPr>
      </w:pPr>
    </w:p>
    <w:p w14:paraId="012567B0" w14:textId="77777777" w:rsidR="008B17E1" w:rsidRDefault="008B17E1" w:rsidP="00617E8B">
      <w:pPr>
        <w:rPr>
          <w:szCs w:val="28"/>
          <w:lang w:val="ru-RU"/>
        </w:rPr>
      </w:pPr>
      <w:r>
        <w:rPr>
          <w:szCs w:val="28"/>
          <w:lang w:val="ru-RU"/>
        </w:rPr>
        <w:t xml:space="preserve">При этом наличие в инвестиционном портфеле банковских вкладов обеспечивают для инвестора наличие финансовой «подушки безопасности». С позиции грамотного управления личными финансами – это важнейший элемент обеспечения собственной финансовой стабильности и устойчивости к возможным макроэкономическим колебаниям. </w:t>
      </w:r>
    </w:p>
    <w:p w14:paraId="13078EC0" w14:textId="77777777" w:rsidR="00C3700B" w:rsidRDefault="00C3700B" w:rsidP="00617E8B">
      <w:pPr>
        <w:rPr>
          <w:lang w:val="ru-RU"/>
        </w:rPr>
      </w:pPr>
      <w:r>
        <w:rPr>
          <w:szCs w:val="28"/>
          <w:lang w:val="ru-RU"/>
        </w:rPr>
        <w:t>Банковские депозиты могут быт</w:t>
      </w:r>
      <w:r w:rsidR="00730424">
        <w:rPr>
          <w:szCs w:val="28"/>
          <w:lang w:val="ru-RU"/>
        </w:rPr>
        <w:t xml:space="preserve">ь сделаны в иностранной валюте, что может повысить итоговую ставку доходности, но обеспечить частному инвестору высокую доходность они все равно не смогут. Именно поэтому в инвестиционный портфель включаются другие, более доходные инструменты. </w:t>
      </w:r>
    </w:p>
    <w:p w14:paraId="23FC1DFD" w14:textId="77777777" w:rsidR="00665613" w:rsidRDefault="00463E0F" w:rsidP="00617E8B">
      <w:pPr>
        <w:rPr>
          <w:lang w:val="ru-RU"/>
        </w:rPr>
      </w:pPr>
      <w:r>
        <w:rPr>
          <w:lang w:val="ru-RU"/>
        </w:rPr>
        <w:t xml:space="preserve">Акция – это долевая ценная бумага, дающая своему владельцу право на участие в делах организации и разделении полученных финансовых результатов. Инвестирование в акции предполагает получение двух видов дохода: текущего (складывающегося в результате выплаты дивидендов) и капитального (образующегося при осуществлении сделок купли-продажи). Правильно выбрав акции можно обеспечить себе довольно высокий доход в виде роста котировок. В таблице </w:t>
      </w:r>
      <w:r w:rsidR="0009509E">
        <w:rPr>
          <w:lang w:val="ru-RU"/>
        </w:rPr>
        <w:t>2</w:t>
      </w:r>
      <w:r>
        <w:rPr>
          <w:lang w:val="ru-RU"/>
        </w:rPr>
        <w:t xml:space="preserve"> представлены организации, </w:t>
      </w:r>
      <w:r w:rsidR="00665613">
        <w:rPr>
          <w:lang w:val="ru-RU"/>
        </w:rPr>
        <w:t>чьи акции показали самый высокий рост за 202</w:t>
      </w:r>
      <w:r w:rsidR="00431223">
        <w:rPr>
          <w:lang w:val="ru-RU"/>
        </w:rPr>
        <w:t>0</w:t>
      </w:r>
      <w:r w:rsidR="00665613">
        <w:rPr>
          <w:lang w:val="ru-RU"/>
        </w:rPr>
        <w:t xml:space="preserve"> г.</w:t>
      </w:r>
    </w:p>
    <w:p w14:paraId="1A1747C5" w14:textId="77777777" w:rsidR="00617E8B" w:rsidRDefault="00617E8B" w:rsidP="00617E8B">
      <w:pPr>
        <w:rPr>
          <w:lang w:val="ru-RU"/>
        </w:rPr>
      </w:pPr>
      <w:r>
        <w:rPr>
          <w:lang w:val="ru-RU"/>
        </w:rPr>
        <w:t xml:space="preserve">Впечатляющий рост некоторых акций свидетельствует о том, что возможно порой заработать внушительные доходы при работе на финансовом </w:t>
      </w:r>
      <w:r>
        <w:rPr>
          <w:lang w:val="ru-RU"/>
        </w:rPr>
        <w:lastRenderedPageBreak/>
        <w:t xml:space="preserve">рынке. Но при этом необходимо учитывать, что частные инвесторы, да и профессиональные трейдеры, не обладают всей информации о будущем развитии рынка, что делает невозможным точное предсказание о том, как будут развиваться котировки на те или иные акции. К тому же, портфель формируется из довольного внушительного числа акций различных эмитентов. Которые относятся </w:t>
      </w:r>
      <w:proofErr w:type="gramStart"/>
      <w:r>
        <w:rPr>
          <w:lang w:val="ru-RU"/>
        </w:rPr>
        <w:t>в различным отраслям</w:t>
      </w:r>
      <w:proofErr w:type="gramEnd"/>
      <w:r>
        <w:rPr>
          <w:lang w:val="ru-RU"/>
        </w:rPr>
        <w:t xml:space="preserve">. Это обеспечивает диверсификацию портфеля в целях защиты от риска. В результате этого, совокупная доходность за 2020 г. однозначно была ниже, чем доходность акций компании </w:t>
      </w:r>
      <w:proofErr w:type="spellStart"/>
      <w:r>
        <w:rPr>
          <w:lang w:val="ru-RU"/>
        </w:rPr>
        <w:t>Селигдар</w:t>
      </w:r>
      <w:proofErr w:type="spellEnd"/>
      <w:r>
        <w:rPr>
          <w:lang w:val="ru-RU"/>
        </w:rPr>
        <w:t xml:space="preserve">. Считается, что эффективным будет тот портфель, который превысит </w:t>
      </w:r>
      <w:proofErr w:type="spellStart"/>
      <w:r>
        <w:rPr>
          <w:lang w:val="ru-RU"/>
        </w:rPr>
        <w:t>общерыночную</w:t>
      </w:r>
      <w:proofErr w:type="spellEnd"/>
      <w:r>
        <w:rPr>
          <w:lang w:val="ru-RU"/>
        </w:rPr>
        <w:t xml:space="preserve"> доходность, выражающуюся через индекс биржи, где осуществляется торговля. Доходность индекса ММВБ за 2020 г. составила 8% </w:t>
      </w:r>
      <w:r w:rsidRPr="00247885">
        <w:rPr>
          <w:lang w:val="ru-RU"/>
        </w:rPr>
        <w:t>[</w:t>
      </w:r>
      <w:r>
        <w:rPr>
          <w:lang w:val="ru-RU"/>
        </w:rPr>
        <w:t>9</w:t>
      </w:r>
      <w:r w:rsidRPr="00247885">
        <w:rPr>
          <w:lang w:val="ru-RU"/>
        </w:rPr>
        <w:t>]</w:t>
      </w:r>
      <w:r>
        <w:rPr>
          <w:lang w:val="ru-RU"/>
        </w:rPr>
        <w:t xml:space="preserve">. Поэтому очень эффективным бы считался портфель акций, продемонстрировавший доходность на уровне 10-12%. Именно использование акций обеспечивает частному инвестирую высокий доход. </w:t>
      </w:r>
    </w:p>
    <w:p w14:paraId="0A290C07" w14:textId="77777777" w:rsidR="00617E8B" w:rsidRDefault="00617E8B" w:rsidP="008567AD">
      <w:pPr>
        <w:jc w:val="left"/>
        <w:rPr>
          <w:lang w:val="ru-RU"/>
        </w:rPr>
      </w:pPr>
    </w:p>
    <w:p w14:paraId="63BF0DE5" w14:textId="77777777" w:rsidR="00665613" w:rsidRPr="00665613" w:rsidRDefault="00665613" w:rsidP="008567AD">
      <w:pPr>
        <w:jc w:val="left"/>
        <w:rPr>
          <w:lang w:val="ru-RU"/>
        </w:rPr>
      </w:pPr>
      <w:r>
        <w:rPr>
          <w:lang w:val="ru-RU"/>
        </w:rPr>
        <w:t xml:space="preserve">Таблица </w:t>
      </w:r>
      <w:r w:rsidR="0009509E">
        <w:rPr>
          <w:lang w:val="ru-RU"/>
        </w:rPr>
        <w:t>2</w:t>
      </w:r>
      <w:r w:rsidR="008567AD">
        <w:rPr>
          <w:lang w:val="ru-RU"/>
        </w:rPr>
        <w:t xml:space="preserve"> </w:t>
      </w:r>
      <w:r>
        <w:rPr>
          <w:lang w:val="ru-RU"/>
        </w:rPr>
        <w:t xml:space="preserve">Акции с самой высокой капитальной доходностью, % </w:t>
      </w:r>
      <w:r w:rsidRPr="00665613">
        <w:rPr>
          <w:lang w:val="ru-RU"/>
        </w:rPr>
        <w:t>[</w:t>
      </w:r>
      <w:r w:rsidR="00431223">
        <w:rPr>
          <w:lang w:val="ru-RU"/>
        </w:rPr>
        <w:t>4</w:t>
      </w:r>
      <w:r w:rsidRPr="00665613">
        <w:rPr>
          <w:lang w:val="ru-RU"/>
        </w:rPr>
        <w:t>]</w:t>
      </w:r>
    </w:p>
    <w:tbl>
      <w:tblPr>
        <w:tblStyle w:val="a8"/>
        <w:tblW w:w="0" w:type="auto"/>
        <w:jc w:val="center"/>
        <w:tblLook w:val="04A0" w:firstRow="1" w:lastRow="0" w:firstColumn="1" w:lastColumn="0" w:noHBand="0" w:noVBand="1"/>
      </w:tblPr>
      <w:tblGrid>
        <w:gridCol w:w="2202"/>
        <w:gridCol w:w="2286"/>
        <w:gridCol w:w="2285"/>
        <w:gridCol w:w="2287"/>
      </w:tblGrid>
      <w:tr w:rsidR="00665613" w:rsidRPr="00665613" w14:paraId="4D5025AB" w14:textId="77777777" w:rsidTr="00665613">
        <w:trPr>
          <w:jc w:val="center"/>
        </w:trPr>
        <w:tc>
          <w:tcPr>
            <w:tcW w:w="2235" w:type="dxa"/>
            <w:vAlign w:val="center"/>
          </w:tcPr>
          <w:p w14:paraId="3384E5DE" w14:textId="77777777" w:rsidR="00665613" w:rsidRPr="00665613" w:rsidRDefault="00665613" w:rsidP="00617E8B">
            <w:pPr>
              <w:ind w:firstLine="0"/>
              <w:jc w:val="center"/>
              <w:rPr>
                <w:sz w:val="24"/>
                <w:szCs w:val="24"/>
                <w:lang w:val="ru-RU"/>
              </w:rPr>
            </w:pPr>
            <w:r w:rsidRPr="00665613">
              <w:rPr>
                <w:sz w:val="24"/>
                <w:szCs w:val="24"/>
                <w:lang w:val="ru-RU"/>
              </w:rPr>
              <w:t>Организация</w:t>
            </w:r>
          </w:p>
        </w:tc>
        <w:tc>
          <w:tcPr>
            <w:tcW w:w="2321" w:type="dxa"/>
            <w:vAlign w:val="center"/>
          </w:tcPr>
          <w:p w14:paraId="0C734560" w14:textId="77777777" w:rsidR="00665613" w:rsidRPr="00665613" w:rsidRDefault="00665613" w:rsidP="00617E8B">
            <w:pPr>
              <w:ind w:firstLine="0"/>
              <w:jc w:val="center"/>
              <w:rPr>
                <w:sz w:val="24"/>
                <w:szCs w:val="24"/>
                <w:lang w:val="ru-RU"/>
              </w:rPr>
            </w:pPr>
            <w:r w:rsidRPr="00665613">
              <w:rPr>
                <w:sz w:val="24"/>
                <w:szCs w:val="24"/>
                <w:lang w:val="ru-RU"/>
              </w:rPr>
              <w:t>Капитальная доходность</w:t>
            </w:r>
          </w:p>
        </w:tc>
        <w:tc>
          <w:tcPr>
            <w:tcW w:w="2322" w:type="dxa"/>
            <w:vAlign w:val="center"/>
          </w:tcPr>
          <w:p w14:paraId="3D39318B" w14:textId="77777777" w:rsidR="00665613" w:rsidRPr="00665613" w:rsidRDefault="00665613" w:rsidP="00617E8B">
            <w:pPr>
              <w:ind w:firstLine="0"/>
              <w:jc w:val="center"/>
              <w:rPr>
                <w:sz w:val="24"/>
                <w:szCs w:val="24"/>
                <w:lang w:val="ru-RU"/>
              </w:rPr>
            </w:pPr>
            <w:r w:rsidRPr="00665613">
              <w:rPr>
                <w:sz w:val="24"/>
                <w:szCs w:val="24"/>
                <w:lang w:val="ru-RU"/>
              </w:rPr>
              <w:t>Дивидендная доходность</w:t>
            </w:r>
          </w:p>
        </w:tc>
        <w:tc>
          <w:tcPr>
            <w:tcW w:w="2322" w:type="dxa"/>
            <w:vAlign w:val="center"/>
          </w:tcPr>
          <w:p w14:paraId="562E67C7" w14:textId="77777777" w:rsidR="00665613" w:rsidRPr="00665613" w:rsidRDefault="00665613" w:rsidP="00617E8B">
            <w:pPr>
              <w:ind w:firstLine="0"/>
              <w:jc w:val="center"/>
              <w:rPr>
                <w:sz w:val="24"/>
                <w:szCs w:val="24"/>
                <w:lang w:val="ru-RU"/>
              </w:rPr>
            </w:pPr>
            <w:r w:rsidRPr="00665613">
              <w:rPr>
                <w:sz w:val="24"/>
                <w:szCs w:val="24"/>
                <w:lang w:val="ru-RU"/>
              </w:rPr>
              <w:t>Совокупная доходность</w:t>
            </w:r>
          </w:p>
        </w:tc>
      </w:tr>
      <w:tr w:rsidR="00665613" w:rsidRPr="00665613" w14:paraId="7A190B54" w14:textId="77777777" w:rsidTr="00665613">
        <w:trPr>
          <w:jc w:val="center"/>
        </w:trPr>
        <w:tc>
          <w:tcPr>
            <w:tcW w:w="2235" w:type="dxa"/>
          </w:tcPr>
          <w:p w14:paraId="16C1EBF0" w14:textId="77777777" w:rsidR="00665613" w:rsidRPr="00665613" w:rsidRDefault="00665613" w:rsidP="00617E8B">
            <w:pPr>
              <w:ind w:firstLine="0"/>
              <w:jc w:val="left"/>
              <w:rPr>
                <w:sz w:val="24"/>
                <w:szCs w:val="24"/>
                <w:lang w:val="ru-RU"/>
              </w:rPr>
            </w:pPr>
            <w:proofErr w:type="spellStart"/>
            <w:r>
              <w:rPr>
                <w:sz w:val="24"/>
                <w:szCs w:val="24"/>
                <w:lang w:val="ru-RU"/>
              </w:rPr>
              <w:t>Селигдар</w:t>
            </w:r>
            <w:proofErr w:type="spellEnd"/>
            <w:r>
              <w:rPr>
                <w:sz w:val="24"/>
                <w:szCs w:val="24"/>
                <w:lang w:val="ru-RU"/>
              </w:rPr>
              <w:t xml:space="preserve"> </w:t>
            </w:r>
          </w:p>
        </w:tc>
        <w:tc>
          <w:tcPr>
            <w:tcW w:w="2321" w:type="dxa"/>
            <w:vAlign w:val="center"/>
          </w:tcPr>
          <w:p w14:paraId="28850F5C" w14:textId="77777777" w:rsidR="00665613" w:rsidRPr="00665613" w:rsidRDefault="00665613" w:rsidP="00617E8B">
            <w:pPr>
              <w:ind w:firstLine="0"/>
              <w:jc w:val="center"/>
              <w:rPr>
                <w:sz w:val="24"/>
                <w:szCs w:val="24"/>
                <w:lang w:val="ru-RU"/>
              </w:rPr>
            </w:pPr>
            <w:r>
              <w:rPr>
                <w:sz w:val="24"/>
                <w:szCs w:val="24"/>
                <w:lang w:val="ru-RU"/>
              </w:rPr>
              <w:t>271,13</w:t>
            </w:r>
          </w:p>
        </w:tc>
        <w:tc>
          <w:tcPr>
            <w:tcW w:w="2322" w:type="dxa"/>
            <w:vAlign w:val="center"/>
          </w:tcPr>
          <w:p w14:paraId="13AB069B" w14:textId="77777777" w:rsidR="00665613" w:rsidRPr="00665613" w:rsidRDefault="00665613" w:rsidP="00617E8B">
            <w:pPr>
              <w:ind w:firstLine="0"/>
              <w:jc w:val="center"/>
              <w:rPr>
                <w:sz w:val="24"/>
                <w:szCs w:val="24"/>
                <w:lang w:val="ru-RU"/>
              </w:rPr>
            </w:pPr>
            <w:r>
              <w:rPr>
                <w:sz w:val="24"/>
                <w:szCs w:val="24"/>
                <w:lang w:val="ru-RU"/>
              </w:rPr>
              <w:t>38,74</w:t>
            </w:r>
          </w:p>
        </w:tc>
        <w:tc>
          <w:tcPr>
            <w:tcW w:w="2322" w:type="dxa"/>
            <w:vAlign w:val="center"/>
          </w:tcPr>
          <w:p w14:paraId="2329150B" w14:textId="77777777" w:rsidR="00665613" w:rsidRPr="00665613" w:rsidRDefault="00665613" w:rsidP="00617E8B">
            <w:pPr>
              <w:ind w:firstLine="0"/>
              <w:jc w:val="center"/>
              <w:rPr>
                <w:sz w:val="24"/>
                <w:szCs w:val="24"/>
                <w:lang w:val="ru-RU"/>
              </w:rPr>
            </w:pPr>
            <w:r>
              <w:rPr>
                <w:sz w:val="24"/>
                <w:szCs w:val="24"/>
                <w:lang w:val="ru-RU"/>
              </w:rPr>
              <w:t>309,87</w:t>
            </w:r>
          </w:p>
        </w:tc>
      </w:tr>
      <w:tr w:rsidR="00665613" w:rsidRPr="00665613" w14:paraId="5AD7D12D" w14:textId="77777777" w:rsidTr="00665613">
        <w:trPr>
          <w:jc w:val="center"/>
        </w:trPr>
        <w:tc>
          <w:tcPr>
            <w:tcW w:w="2235" w:type="dxa"/>
          </w:tcPr>
          <w:p w14:paraId="2DD48888" w14:textId="77777777" w:rsidR="00665613" w:rsidRPr="00665613" w:rsidRDefault="00665613" w:rsidP="00617E8B">
            <w:pPr>
              <w:ind w:firstLine="0"/>
              <w:jc w:val="left"/>
              <w:rPr>
                <w:sz w:val="24"/>
                <w:szCs w:val="24"/>
                <w:lang w:val="ru-RU"/>
              </w:rPr>
            </w:pPr>
            <w:proofErr w:type="spellStart"/>
            <w:r>
              <w:rPr>
                <w:sz w:val="24"/>
                <w:szCs w:val="24"/>
                <w:lang w:val="ru-RU"/>
              </w:rPr>
              <w:t>Лензолото</w:t>
            </w:r>
            <w:proofErr w:type="spellEnd"/>
            <w:r>
              <w:rPr>
                <w:sz w:val="24"/>
                <w:szCs w:val="24"/>
                <w:lang w:val="ru-RU"/>
              </w:rPr>
              <w:t xml:space="preserve"> </w:t>
            </w:r>
          </w:p>
        </w:tc>
        <w:tc>
          <w:tcPr>
            <w:tcW w:w="2321" w:type="dxa"/>
            <w:vAlign w:val="center"/>
          </w:tcPr>
          <w:p w14:paraId="4D869C5A" w14:textId="77777777" w:rsidR="00665613" w:rsidRPr="00665613" w:rsidRDefault="00665613" w:rsidP="00617E8B">
            <w:pPr>
              <w:ind w:firstLine="0"/>
              <w:jc w:val="center"/>
              <w:rPr>
                <w:sz w:val="24"/>
                <w:szCs w:val="24"/>
                <w:lang w:val="ru-RU"/>
              </w:rPr>
            </w:pPr>
            <w:r>
              <w:rPr>
                <w:sz w:val="24"/>
                <w:szCs w:val="24"/>
                <w:lang w:val="ru-RU"/>
              </w:rPr>
              <w:t>170,88</w:t>
            </w:r>
          </w:p>
        </w:tc>
        <w:tc>
          <w:tcPr>
            <w:tcW w:w="2322" w:type="dxa"/>
            <w:vAlign w:val="center"/>
          </w:tcPr>
          <w:p w14:paraId="40290575" w14:textId="77777777" w:rsidR="00665613" w:rsidRPr="00665613" w:rsidRDefault="00665613" w:rsidP="00617E8B">
            <w:pPr>
              <w:ind w:firstLine="0"/>
              <w:jc w:val="center"/>
              <w:rPr>
                <w:sz w:val="24"/>
                <w:szCs w:val="24"/>
                <w:lang w:val="ru-RU"/>
              </w:rPr>
            </w:pPr>
            <w:r>
              <w:rPr>
                <w:sz w:val="24"/>
                <w:szCs w:val="24"/>
                <w:lang w:val="ru-RU"/>
              </w:rPr>
              <w:t>-</w:t>
            </w:r>
          </w:p>
        </w:tc>
        <w:tc>
          <w:tcPr>
            <w:tcW w:w="2322" w:type="dxa"/>
            <w:vAlign w:val="center"/>
          </w:tcPr>
          <w:p w14:paraId="00C32E67" w14:textId="77777777" w:rsidR="00665613" w:rsidRPr="00665613" w:rsidRDefault="00665613" w:rsidP="00617E8B">
            <w:pPr>
              <w:ind w:firstLine="0"/>
              <w:jc w:val="center"/>
              <w:rPr>
                <w:sz w:val="24"/>
                <w:szCs w:val="24"/>
                <w:lang w:val="ru-RU"/>
              </w:rPr>
            </w:pPr>
            <w:r>
              <w:rPr>
                <w:sz w:val="24"/>
                <w:szCs w:val="24"/>
                <w:lang w:val="ru-RU"/>
              </w:rPr>
              <w:t>170,88</w:t>
            </w:r>
          </w:p>
        </w:tc>
      </w:tr>
      <w:tr w:rsidR="00665613" w:rsidRPr="00665613" w14:paraId="629AB07C" w14:textId="77777777" w:rsidTr="00665613">
        <w:trPr>
          <w:jc w:val="center"/>
        </w:trPr>
        <w:tc>
          <w:tcPr>
            <w:tcW w:w="2235" w:type="dxa"/>
          </w:tcPr>
          <w:p w14:paraId="24808830" w14:textId="77777777" w:rsidR="00665613" w:rsidRPr="00665613" w:rsidRDefault="00665613" w:rsidP="00617E8B">
            <w:pPr>
              <w:ind w:firstLine="0"/>
              <w:jc w:val="left"/>
              <w:rPr>
                <w:sz w:val="24"/>
                <w:szCs w:val="24"/>
                <w:lang w:val="ru-RU"/>
              </w:rPr>
            </w:pPr>
            <w:r>
              <w:rPr>
                <w:sz w:val="24"/>
                <w:szCs w:val="24"/>
                <w:lang w:val="ru-RU"/>
              </w:rPr>
              <w:t xml:space="preserve">Полюс </w:t>
            </w:r>
          </w:p>
        </w:tc>
        <w:tc>
          <w:tcPr>
            <w:tcW w:w="2321" w:type="dxa"/>
            <w:vAlign w:val="center"/>
          </w:tcPr>
          <w:p w14:paraId="71F55A66" w14:textId="77777777" w:rsidR="00665613" w:rsidRPr="00665613" w:rsidRDefault="00665613" w:rsidP="00617E8B">
            <w:pPr>
              <w:ind w:firstLine="0"/>
              <w:jc w:val="center"/>
              <w:rPr>
                <w:sz w:val="24"/>
                <w:szCs w:val="24"/>
                <w:lang w:val="ru-RU"/>
              </w:rPr>
            </w:pPr>
            <w:r>
              <w:rPr>
                <w:sz w:val="24"/>
                <w:szCs w:val="24"/>
                <w:lang w:val="ru-RU"/>
              </w:rPr>
              <w:t>114,61</w:t>
            </w:r>
          </w:p>
        </w:tc>
        <w:tc>
          <w:tcPr>
            <w:tcW w:w="2322" w:type="dxa"/>
            <w:vAlign w:val="center"/>
          </w:tcPr>
          <w:p w14:paraId="6C99E766" w14:textId="77777777" w:rsidR="00665613" w:rsidRPr="00665613" w:rsidRDefault="00665613" w:rsidP="00617E8B">
            <w:pPr>
              <w:ind w:firstLine="0"/>
              <w:jc w:val="center"/>
              <w:rPr>
                <w:sz w:val="24"/>
                <w:szCs w:val="24"/>
                <w:lang w:val="ru-RU"/>
              </w:rPr>
            </w:pPr>
            <w:r>
              <w:rPr>
                <w:sz w:val="24"/>
                <w:szCs w:val="24"/>
                <w:lang w:val="ru-RU"/>
              </w:rPr>
              <w:t>6,83</w:t>
            </w:r>
          </w:p>
        </w:tc>
        <w:tc>
          <w:tcPr>
            <w:tcW w:w="2322" w:type="dxa"/>
            <w:vAlign w:val="center"/>
          </w:tcPr>
          <w:p w14:paraId="674F2711" w14:textId="77777777" w:rsidR="00665613" w:rsidRPr="00665613" w:rsidRDefault="00665613" w:rsidP="00617E8B">
            <w:pPr>
              <w:ind w:firstLine="0"/>
              <w:jc w:val="center"/>
              <w:rPr>
                <w:sz w:val="24"/>
                <w:szCs w:val="24"/>
                <w:lang w:val="ru-RU"/>
              </w:rPr>
            </w:pPr>
            <w:r>
              <w:rPr>
                <w:sz w:val="24"/>
                <w:szCs w:val="24"/>
                <w:lang w:val="ru-RU"/>
              </w:rPr>
              <w:t>121,44</w:t>
            </w:r>
          </w:p>
        </w:tc>
      </w:tr>
      <w:tr w:rsidR="00665613" w:rsidRPr="00665613" w14:paraId="0570EA6B" w14:textId="77777777" w:rsidTr="00665613">
        <w:trPr>
          <w:jc w:val="center"/>
        </w:trPr>
        <w:tc>
          <w:tcPr>
            <w:tcW w:w="2235" w:type="dxa"/>
          </w:tcPr>
          <w:p w14:paraId="637161CE" w14:textId="77777777" w:rsidR="00665613" w:rsidRPr="00665613" w:rsidRDefault="00665613" w:rsidP="00617E8B">
            <w:pPr>
              <w:ind w:firstLine="0"/>
              <w:jc w:val="left"/>
              <w:rPr>
                <w:sz w:val="24"/>
                <w:szCs w:val="24"/>
                <w:lang w:val="ru-RU"/>
              </w:rPr>
            </w:pPr>
            <w:r>
              <w:rPr>
                <w:sz w:val="24"/>
                <w:szCs w:val="24"/>
                <w:lang w:val="ru-RU"/>
              </w:rPr>
              <w:t xml:space="preserve">Яндекс </w:t>
            </w:r>
          </w:p>
        </w:tc>
        <w:tc>
          <w:tcPr>
            <w:tcW w:w="2321" w:type="dxa"/>
            <w:vAlign w:val="center"/>
          </w:tcPr>
          <w:p w14:paraId="0FC21719" w14:textId="77777777" w:rsidR="00665613" w:rsidRPr="00665613" w:rsidRDefault="00665613" w:rsidP="00617E8B">
            <w:pPr>
              <w:ind w:firstLine="0"/>
              <w:jc w:val="center"/>
              <w:rPr>
                <w:sz w:val="24"/>
                <w:szCs w:val="24"/>
                <w:lang w:val="ru-RU"/>
              </w:rPr>
            </w:pPr>
            <w:r>
              <w:rPr>
                <w:sz w:val="24"/>
                <w:szCs w:val="24"/>
                <w:lang w:val="ru-RU"/>
              </w:rPr>
              <w:t>91,58</w:t>
            </w:r>
          </w:p>
        </w:tc>
        <w:tc>
          <w:tcPr>
            <w:tcW w:w="2322" w:type="dxa"/>
            <w:vAlign w:val="center"/>
          </w:tcPr>
          <w:p w14:paraId="23FCC5D8" w14:textId="77777777" w:rsidR="00665613" w:rsidRPr="00665613" w:rsidRDefault="00665613" w:rsidP="00617E8B">
            <w:pPr>
              <w:ind w:firstLine="0"/>
              <w:jc w:val="center"/>
              <w:rPr>
                <w:sz w:val="24"/>
                <w:szCs w:val="24"/>
                <w:lang w:val="ru-RU"/>
              </w:rPr>
            </w:pPr>
            <w:r>
              <w:rPr>
                <w:sz w:val="24"/>
                <w:szCs w:val="24"/>
                <w:lang w:val="ru-RU"/>
              </w:rPr>
              <w:t>-</w:t>
            </w:r>
          </w:p>
        </w:tc>
        <w:tc>
          <w:tcPr>
            <w:tcW w:w="2322" w:type="dxa"/>
            <w:vAlign w:val="center"/>
          </w:tcPr>
          <w:p w14:paraId="333EA5F1" w14:textId="77777777" w:rsidR="00665613" w:rsidRPr="00665613" w:rsidRDefault="00665613" w:rsidP="00617E8B">
            <w:pPr>
              <w:ind w:firstLine="0"/>
              <w:jc w:val="center"/>
              <w:rPr>
                <w:sz w:val="24"/>
                <w:szCs w:val="24"/>
                <w:lang w:val="ru-RU"/>
              </w:rPr>
            </w:pPr>
            <w:r>
              <w:rPr>
                <w:sz w:val="24"/>
                <w:szCs w:val="24"/>
                <w:lang w:val="ru-RU"/>
              </w:rPr>
              <w:t>91,58</w:t>
            </w:r>
          </w:p>
        </w:tc>
      </w:tr>
      <w:tr w:rsidR="00665613" w:rsidRPr="00665613" w14:paraId="4C5077ED" w14:textId="77777777" w:rsidTr="00665613">
        <w:trPr>
          <w:jc w:val="center"/>
        </w:trPr>
        <w:tc>
          <w:tcPr>
            <w:tcW w:w="2235" w:type="dxa"/>
          </w:tcPr>
          <w:p w14:paraId="57DDB282" w14:textId="77777777" w:rsidR="00665613" w:rsidRPr="00665613" w:rsidRDefault="00665613" w:rsidP="00617E8B">
            <w:pPr>
              <w:ind w:firstLine="0"/>
              <w:jc w:val="left"/>
              <w:rPr>
                <w:sz w:val="24"/>
                <w:szCs w:val="24"/>
                <w:lang w:val="ru-RU"/>
              </w:rPr>
            </w:pPr>
            <w:r>
              <w:rPr>
                <w:sz w:val="24"/>
                <w:szCs w:val="24"/>
                <w:lang w:val="ru-RU"/>
              </w:rPr>
              <w:t>АФК Система</w:t>
            </w:r>
          </w:p>
        </w:tc>
        <w:tc>
          <w:tcPr>
            <w:tcW w:w="2321" w:type="dxa"/>
            <w:vAlign w:val="center"/>
          </w:tcPr>
          <w:p w14:paraId="6F16026F" w14:textId="77777777" w:rsidR="00665613" w:rsidRPr="00665613" w:rsidRDefault="00665613" w:rsidP="00617E8B">
            <w:pPr>
              <w:ind w:firstLine="0"/>
              <w:jc w:val="center"/>
              <w:rPr>
                <w:sz w:val="24"/>
                <w:szCs w:val="24"/>
                <w:lang w:val="ru-RU"/>
              </w:rPr>
            </w:pPr>
            <w:r>
              <w:rPr>
                <w:sz w:val="24"/>
                <w:szCs w:val="24"/>
                <w:lang w:val="ru-RU"/>
              </w:rPr>
              <w:t>88,44</w:t>
            </w:r>
          </w:p>
        </w:tc>
        <w:tc>
          <w:tcPr>
            <w:tcW w:w="2322" w:type="dxa"/>
            <w:vAlign w:val="center"/>
          </w:tcPr>
          <w:p w14:paraId="3A685B07" w14:textId="77777777" w:rsidR="00665613" w:rsidRPr="00665613" w:rsidRDefault="00665613" w:rsidP="00617E8B">
            <w:pPr>
              <w:ind w:firstLine="0"/>
              <w:jc w:val="center"/>
              <w:rPr>
                <w:sz w:val="24"/>
                <w:szCs w:val="24"/>
                <w:lang w:val="ru-RU"/>
              </w:rPr>
            </w:pPr>
            <w:r>
              <w:rPr>
                <w:sz w:val="24"/>
                <w:szCs w:val="24"/>
                <w:lang w:val="ru-RU"/>
              </w:rPr>
              <w:t>0,86</w:t>
            </w:r>
          </w:p>
        </w:tc>
        <w:tc>
          <w:tcPr>
            <w:tcW w:w="2322" w:type="dxa"/>
            <w:vAlign w:val="center"/>
          </w:tcPr>
          <w:p w14:paraId="5078FB60" w14:textId="77777777" w:rsidR="00665613" w:rsidRPr="00665613" w:rsidRDefault="00665613" w:rsidP="00617E8B">
            <w:pPr>
              <w:ind w:firstLine="0"/>
              <w:jc w:val="center"/>
              <w:rPr>
                <w:sz w:val="24"/>
                <w:szCs w:val="24"/>
                <w:lang w:val="ru-RU"/>
              </w:rPr>
            </w:pPr>
            <w:r>
              <w:rPr>
                <w:sz w:val="24"/>
                <w:szCs w:val="24"/>
                <w:lang w:val="ru-RU"/>
              </w:rPr>
              <w:t>89,3</w:t>
            </w:r>
          </w:p>
        </w:tc>
      </w:tr>
      <w:tr w:rsidR="00665613" w:rsidRPr="00665613" w14:paraId="5968AB2C" w14:textId="77777777" w:rsidTr="00665613">
        <w:trPr>
          <w:jc w:val="center"/>
        </w:trPr>
        <w:tc>
          <w:tcPr>
            <w:tcW w:w="2235" w:type="dxa"/>
          </w:tcPr>
          <w:p w14:paraId="4615A812" w14:textId="77777777" w:rsidR="00665613" w:rsidRPr="00665613" w:rsidRDefault="00665613" w:rsidP="00617E8B">
            <w:pPr>
              <w:ind w:firstLine="0"/>
              <w:jc w:val="left"/>
              <w:rPr>
                <w:sz w:val="24"/>
                <w:szCs w:val="24"/>
                <w:lang w:val="ru-RU"/>
              </w:rPr>
            </w:pPr>
            <w:r>
              <w:rPr>
                <w:sz w:val="24"/>
                <w:szCs w:val="24"/>
                <w:lang w:val="ru-RU"/>
              </w:rPr>
              <w:t xml:space="preserve">Полиметалл </w:t>
            </w:r>
          </w:p>
        </w:tc>
        <w:tc>
          <w:tcPr>
            <w:tcW w:w="2321" w:type="dxa"/>
            <w:vAlign w:val="center"/>
          </w:tcPr>
          <w:p w14:paraId="47DDA6BC" w14:textId="77777777" w:rsidR="00665613" w:rsidRPr="00665613" w:rsidRDefault="00665613" w:rsidP="00617E8B">
            <w:pPr>
              <w:ind w:firstLine="0"/>
              <w:jc w:val="center"/>
              <w:rPr>
                <w:sz w:val="24"/>
                <w:szCs w:val="24"/>
                <w:lang w:val="ru-RU"/>
              </w:rPr>
            </w:pPr>
            <w:r>
              <w:rPr>
                <w:sz w:val="24"/>
                <w:szCs w:val="24"/>
                <w:lang w:val="ru-RU"/>
              </w:rPr>
              <w:t>78,69</w:t>
            </w:r>
          </w:p>
        </w:tc>
        <w:tc>
          <w:tcPr>
            <w:tcW w:w="2322" w:type="dxa"/>
            <w:vAlign w:val="center"/>
          </w:tcPr>
          <w:p w14:paraId="1D525F3A" w14:textId="77777777" w:rsidR="00665613" w:rsidRPr="00665613" w:rsidRDefault="00665613" w:rsidP="00617E8B">
            <w:pPr>
              <w:ind w:firstLine="0"/>
              <w:jc w:val="center"/>
              <w:rPr>
                <w:sz w:val="24"/>
                <w:szCs w:val="24"/>
                <w:lang w:val="ru-RU"/>
              </w:rPr>
            </w:pPr>
            <w:r>
              <w:rPr>
                <w:sz w:val="24"/>
                <w:szCs w:val="24"/>
                <w:lang w:val="ru-RU"/>
              </w:rPr>
              <w:t>7,65</w:t>
            </w:r>
          </w:p>
        </w:tc>
        <w:tc>
          <w:tcPr>
            <w:tcW w:w="2322" w:type="dxa"/>
            <w:vAlign w:val="center"/>
          </w:tcPr>
          <w:p w14:paraId="7C1C013E" w14:textId="77777777" w:rsidR="00665613" w:rsidRPr="00665613" w:rsidRDefault="00665613" w:rsidP="00617E8B">
            <w:pPr>
              <w:ind w:firstLine="0"/>
              <w:jc w:val="center"/>
              <w:rPr>
                <w:sz w:val="24"/>
                <w:szCs w:val="24"/>
                <w:lang w:val="ru-RU"/>
              </w:rPr>
            </w:pPr>
            <w:r>
              <w:rPr>
                <w:sz w:val="24"/>
                <w:szCs w:val="24"/>
                <w:lang w:val="ru-RU"/>
              </w:rPr>
              <w:t>86,34</w:t>
            </w:r>
          </w:p>
        </w:tc>
      </w:tr>
      <w:tr w:rsidR="00665613" w:rsidRPr="00665613" w14:paraId="41D8B144" w14:textId="77777777" w:rsidTr="00665613">
        <w:trPr>
          <w:jc w:val="center"/>
        </w:trPr>
        <w:tc>
          <w:tcPr>
            <w:tcW w:w="2235" w:type="dxa"/>
          </w:tcPr>
          <w:p w14:paraId="1F7B965F" w14:textId="77777777" w:rsidR="00665613" w:rsidRPr="00665613" w:rsidRDefault="00665613" w:rsidP="00617E8B">
            <w:pPr>
              <w:ind w:firstLine="0"/>
              <w:jc w:val="left"/>
              <w:rPr>
                <w:sz w:val="24"/>
                <w:szCs w:val="24"/>
                <w:lang w:val="ru-RU"/>
              </w:rPr>
            </w:pPr>
            <w:r>
              <w:rPr>
                <w:sz w:val="24"/>
                <w:szCs w:val="24"/>
                <w:lang w:val="ru-RU"/>
              </w:rPr>
              <w:t xml:space="preserve">Магнит </w:t>
            </w:r>
          </w:p>
        </w:tc>
        <w:tc>
          <w:tcPr>
            <w:tcW w:w="2321" w:type="dxa"/>
            <w:vAlign w:val="center"/>
          </w:tcPr>
          <w:p w14:paraId="634476C1" w14:textId="77777777" w:rsidR="00665613" w:rsidRPr="00665613" w:rsidRDefault="00665613" w:rsidP="00617E8B">
            <w:pPr>
              <w:ind w:firstLine="0"/>
              <w:jc w:val="center"/>
              <w:rPr>
                <w:sz w:val="24"/>
                <w:szCs w:val="24"/>
                <w:lang w:val="ru-RU"/>
              </w:rPr>
            </w:pPr>
            <w:r>
              <w:rPr>
                <w:sz w:val="24"/>
                <w:szCs w:val="24"/>
                <w:lang w:val="ru-RU"/>
              </w:rPr>
              <w:t>66</w:t>
            </w:r>
          </w:p>
        </w:tc>
        <w:tc>
          <w:tcPr>
            <w:tcW w:w="2322" w:type="dxa"/>
            <w:vAlign w:val="center"/>
          </w:tcPr>
          <w:p w14:paraId="548CA573" w14:textId="77777777" w:rsidR="00665613" w:rsidRPr="00665613" w:rsidRDefault="00665613" w:rsidP="00617E8B">
            <w:pPr>
              <w:ind w:firstLine="0"/>
              <w:jc w:val="center"/>
              <w:rPr>
                <w:sz w:val="24"/>
                <w:szCs w:val="24"/>
                <w:lang w:val="ru-RU"/>
              </w:rPr>
            </w:pPr>
            <w:r>
              <w:rPr>
                <w:sz w:val="24"/>
                <w:szCs w:val="24"/>
                <w:lang w:val="ru-RU"/>
              </w:rPr>
              <w:t>8,88</w:t>
            </w:r>
          </w:p>
        </w:tc>
        <w:tc>
          <w:tcPr>
            <w:tcW w:w="2322" w:type="dxa"/>
            <w:vAlign w:val="center"/>
          </w:tcPr>
          <w:p w14:paraId="32B416BA" w14:textId="77777777" w:rsidR="00665613" w:rsidRPr="00665613" w:rsidRDefault="00665613" w:rsidP="00617E8B">
            <w:pPr>
              <w:ind w:firstLine="0"/>
              <w:jc w:val="center"/>
              <w:rPr>
                <w:sz w:val="24"/>
                <w:szCs w:val="24"/>
                <w:lang w:val="ru-RU"/>
              </w:rPr>
            </w:pPr>
            <w:r>
              <w:rPr>
                <w:sz w:val="24"/>
                <w:szCs w:val="24"/>
                <w:lang w:val="ru-RU"/>
              </w:rPr>
              <w:t>74,88</w:t>
            </w:r>
          </w:p>
        </w:tc>
      </w:tr>
      <w:tr w:rsidR="00665613" w:rsidRPr="00665613" w14:paraId="1B4B6EF6" w14:textId="77777777" w:rsidTr="00665613">
        <w:trPr>
          <w:jc w:val="center"/>
        </w:trPr>
        <w:tc>
          <w:tcPr>
            <w:tcW w:w="2235" w:type="dxa"/>
          </w:tcPr>
          <w:p w14:paraId="3115536C" w14:textId="77777777" w:rsidR="00665613" w:rsidRPr="00665613" w:rsidRDefault="00665613" w:rsidP="00617E8B">
            <w:pPr>
              <w:ind w:firstLine="0"/>
              <w:jc w:val="left"/>
              <w:rPr>
                <w:sz w:val="24"/>
                <w:szCs w:val="24"/>
                <w:lang w:val="ru-RU"/>
              </w:rPr>
            </w:pPr>
            <w:r>
              <w:rPr>
                <w:sz w:val="24"/>
                <w:szCs w:val="24"/>
                <w:lang w:val="ru-RU"/>
              </w:rPr>
              <w:t>ТГК-2</w:t>
            </w:r>
          </w:p>
        </w:tc>
        <w:tc>
          <w:tcPr>
            <w:tcW w:w="2321" w:type="dxa"/>
            <w:vAlign w:val="center"/>
          </w:tcPr>
          <w:p w14:paraId="1A2E2849" w14:textId="77777777" w:rsidR="00665613" w:rsidRPr="00665613" w:rsidRDefault="00665613" w:rsidP="00617E8B">
            <w:pPr>
              <w:ind w:firstLine="0"/>
              <w:jc w:val="center"/>
              <w:rPr>
                <w:sz w:val="24"/>
                <w:szCs w:val="24"/>
                <w:lang w:val="ru-RU"/>
              </w:rPr>
            </w:pPr>
            <w:r>
              <w:rPr>
                <w:sz w:val="24"/>
                <w:szCs w:val="24"/>
                <w:lang w:val="ru-RU"/>
              </w:rPr>
              <w:t>63,31</w:t>
            </w:r>
          </w:p>
        </w:tc>
        <w:tc>
          <w:tcPr>
            <w:tcW w:w="2322" w:type="dxa"/>
            <w:vAlign w:val="center"/>
          </w:tcPr>
          <w:p w14:paraId="77CC2805" w14:textId="77777777" w:rsidR="00665613" w:rsidRPr="00665613" w:rsidRDefault="00665613" w:rsidP="00617E8B">
            <w:pPr>
              <w:ind w:firstLine="0"/>
              <w:jc w:val="center"/>
              <w:rPr>
                <w:sz w:val="24"/>
                <w:szCs w:val="24"/>
                <w:lang w:val="ru-RU"/>
              </w:rPr>
            </w:pPr>
            <w:r>
              <w:rPr>
                <w:sz w:val="24"/>
                <w:szCs w:val="24"/>
                <w:lang w:val="ru-RU"/>
              </w:rPr>
              <w:t>-</w:t>
            </w:r>
          </w:p>
        </w:tc>
        <w:tc>
          <w:tcPr>
            <w:tcW w:w="2322" w:type="dxa"/>
            <w:vAlign w:val="center"/>
          </w:tcPr>
          <w:p w14:paraId="6E284E29" w14:textId="77777777" w:rsidR="00665613" w:rsidRPr="00665613" w:rsidRDefault="00665613" w:rsidP="00617E8B">
            <w:pPr>
              <w:ind w:firstLine="0"/>
              <w:jc w:val="center"/>
              <w:rPr>
                <w:sz w:val="24"/>
                <w:szCs w:val="24"/>
                <w:lang w:val="ru-RU"/>
              </w:rPr>
            </w:pPr>
            <w:r>
              <w:rPr>
                <w:sz w:val="24"/>
                <w:szCs w:val="24"/>
                <w:lang w:val="ru-RU"/>
              </w:rPr>
              <w:t>63,31</w:t>
            </w:r>
          </w:p>
        </w:tc>
      </w:tr>
      <w:tr w:rsidR="00665613" w:rsidRPr="00665613" w14:paraId="4A8BC7AD" w14:textId="77777777" w:rsidTr="00665613">
        <w:trPr>
          <w:jc w:val="center"/>
        </w:trPr>
        <w:tc>
          <w:tcPr>
            <w:tcW w:w="2235" w:type="dxa"/>
          </w:tcPr>
          <w:p w14:paraId="37EC94C8" w14:textId="77777777" w:rsidR="00665613" w:rsidRPr="00665613" w:rsidRDefault="00665613" w:rsidP="00617E8B">
            <w:pPr>
              <w:ind w:firstLine="0"/>
              <w:jc w:val="left"/>
              <w:rPr>
                <w:sz w:val="24"/>
                <w:szCs w:val="24"/>
                <w:lang w:val="ru-RU"/>
              </w:rPr>
            </w:pPr>
            <w:r>
              <w:rPr>
                <w:sz w:val="24"/>
                <w:szCs w:val="24"/>
                <w:lang w:val="ru-RU"/>
              </w:rPr>
              <w:t>НЛМК</w:t>
            </w:r>
          </w:p>
        </w:tc>
        <w:tc>
          <w:tcPr>
            <w:tcW w:w="2321" w:type="dxa"/>
            <w:vAlign w:val="center"/>
          </w:tcPr>
          <w:p w14:paraId="0A148617" w14:textId="77777777" w:rsidR="00665613" w:rsidRPr="00665613" w:rsidRDefault="00665613" w:rsidP="00617E8B">
            <w:pPr>
              <w:ind w:firstLine="0"/>
              <w:jc w:val="center"/>
              <w:rPr>
                <w:sz w:val="24"/>
                <w:szCs w:val="24"/>
                <w:lang w:val="ru-RU"/>
              </w:rPr>
            </w:pPr>
            <w:r>
              <w:rPr>
                <w:sz w:val="24"/>
                <w:szCs w:val="24"/>
                <w:lang w:val="ru-RU"/>
              </w:rPr>
              <w:t>45,31</w:t>
            </w:r>
          </w:p>
        </w:tc>
        <w:tc>
          <w:tcPr>
            <w:tcW w:w="2322" w:type="dxa"/>
            <w:vAlign w:val="center"/>
          </w:tcPr>
          <w:p w14:paraId="5068D421" w14:textId="77777777" w:rsidR="00665613" w:rsidRPr="00665613" w:rsidRDefault="00665613" w:rsidP="00617E8B">
            <w:pPr>
              <w:ind w:firstLine="0"/>
              <w:jc w:val="center"/>
              <w:rPr>
                <w:sz w:val="24"/>
                <w:szCs w:val="24"/>
                <w:lang w:val="ru-RU"/>
              </w:rPr>
            </w:pPr>
            <w:r>
              <w:rPr>
                <w:sz w:val="24"/>
                <w:szCs w:val="24"/>
                <w:lang w:val="ru-RU"/>
              </w:rPr>
              <w:t>13,54</w:t>
            </w:r>
          </w:p>
        </w:tc>
        <w:tc>
          <w:tcPr>
            <w:tcW w:w="2322" w:type="dxa"/>
            <w:vAlign w:val="center"/>
          </w:tcPr>
          <w:p w14:paraId="609EE388" w14:textId="77777777" w:rsidR="00665613" w:rsidRPr="00665613" w:rsidRDefault="00665613" w:rsidP="00617E8B">
            <w:pPr>
              <w:ind w:firstLine="0"/>
              <w:jc w:val="center"/>
              <w:rPr>
                <w:sz w:val="24"/>
                <w:szCs w:val="24"/>
                <w:lang w:val="ru-RU"/>
              </w:rPr>
            </w:pPr>
            <w:r>
              <w:rPr>
                <w:sz w:val="24"/>
                <w:szCs w:val="24"/>
                <w:lang w:val="ru-RU"/>
              </w:rPr>
              <w:t>58,85</w:t>
            </w:r>
          </w:p>
        </w:tc>
      </w:tr>
      <w:tr w:rsidR="00665613" w:rsidRPr="00665613" w14:paraId="6DF04668" w14:textId="77777777" w:rsidTr="00665613">
        <w:trPr>
          <w:jc w:val="center"/>
        </w:trPr>
        <w:tc>
          <w:tcPr>
            <w:tcW w:w="2235" w:type="dxa"/>
          </w:tcPr>
          <w:p w14:paraId="6F780792" w14:textId="77777777" w:rsidR="00665613" w:rsidRPr="00665613" w:rsidRDefault="00665613" w:rsidP="00617E8B">
            <w:pPr>
              <w:ind w:firstLine="0"/>
              <w:jc w:val="left"/>
              <w:rPr>
                <w:sz w:val="24"/>
                <w:szCs w:val="24"/>
                <w:lang w:val="ru-RU"/>
              </w:rPr>
            </w:pPr>
            <w:r>
              <w:rPr>
                <w:sz w:val="24"/>
                <w:szCs w:val="24"/>
                <w:lang w:val="ru-RU"/>
              </w:rPr>
              <w:t xml:space="preserve">Московская биржа </w:t>
            </w:r>
          </w:p>
        </w:tc>
        <w:tc>
          <w:tcPr>
            <w:tcW w:w="2321" w:type="dxa"/>
            <w:vAlign w:val="center"/>
          </w:tcPr>
          <w:p w14:paraId="6AC75011" w14:textId="77777777" w:rsidR="00665613" w:rsidRPr="00665613" w:rsidRDefault="00665613" w:rsidP="00617E8B">
            <w:pPr>
              <w:ind w:firstLine="0"/>
              <w:jc w:val="center"/>
              <w:rPr>
                <w:sz w:val="24"/>
                <w:szCs w:val="24"/>
                <w:lang w:val="ru-RU"/>
              </w:rPr>
            </w:pPr>
            <w:r>
              <w:rPr>
                <w:sz w:val="24"/>
                <w:szCs w:val="24"/>
                <w:lang w:val="ru-RU"/>
              </w:rPr>
              <w:t>47,8</w:t>
            </w:r>
          </w:p>
        </w:tc>
        <w:tc>
          <w:tcPr>
            <w:tcW w:w="2322" w:type="dxa"/>
            <w:vAlign w:val="center"/>
          </w:tcPr>
          <w:p w14:paraId="7B5788E5" w14:textId="77777777" w:rsidR="00665613" w:rsidRPr="00665613" w:rsidRDefault="00665613" w:rsidP="00617E8B">
            <w:pPr>
              <w:ind w:firstLine="0"/>
              <w:jc w:val="center"/>
              <w:rPr>
                <w:sz w:val="24"/>
                <w:szCs w:val="24"/>
                <w:lang w:val="ru-RU"/>
              </w:rPr>
            </w:pPr>
            <w:r>
              <w:rPr>
                <w:sz w:val="24"/>
                <w:szCs w:val="24"/>
                <w:lang w:val="ru-RU"/>
              </w:rPr>
              <w:t>7,35</w:t>
            </w:r>
          </w:p>
        </w:tc>
        <w:tc>
          <w:tcPr>
            <w:tcW w:w="2322" w:type="dxa"/>
            <w:vAlign w:val="center"/>
          </w:tcPr>
          <w:p w14:paraId="682BA89C" w14:textId="77777777" w:rsidR="00665613" w:rsidRPr="00665613" w:rsidRDefault="00665613" w:rsidP="00617E8B">
            <w:pPr>
              <w:ind w:firstLine="0"/>
              <w:jc w:val="center"/>
              <w:rPr>
                <w:sz w:val="24"/>
                <w:szCs w:val="24"/>
                <w:lang w:val="ru-RU"/>
              </w:rPr>
            </w:pPr>
            <w:r>
              <w:rPr>
                <w:sz w:val="24"/>
                <w:szCs w:val="24"/>
                <w:lang w:val="ru-RU"/>
              </w:rPr>
              <w:t>55,15</w:t>
            </w:r>
          </w:p>
        </w:tc>
      </w:tr>
    </w:tbl>
    <w:p w14:paraId="35C9E68A" w14:textId="77777777" w:rsidR="00617E8B" w:rsidRDefault="00617E8B" w:rsidP="00617E8B">
      <w:pPr>
        <w:rPr>
          <w:lang w:val="ru-RU"/>
        </w:rPr>
      </w:pPr>
    </w:p>
    <w:p w14:paraId="1D9DFF32" w14:textId="77777777" w:rsidR="00247885" w:rsidRDefault="00247885" w:rsidP="00617E8B">
      <w:pPr>
        <w:rPr>
          <w:lang w:val="ru-RU"/>
        </w:rPr>
      </w:pPr>
      <w:r>
        <w:rPr>
          <w:lang w:val="ru-RU"/>
        </w:rPr>
        <w:t xml:space="preserve">Менее доходными, но более стабильными инструментами, являются облигации. Облигация – это долговая ценная бумага, используемая эмитентом для </w:t>
      </w:r>
      <w:r w:rsidR="00385335">
        <w:rPr>
          <w:lang w:val="ru-RU"/>
        </w:rPr>
        <w:t xml:space="preserve">привлечения заемного капитала и дающая инвестору право на получение дохода в виде выплаты купонов или суммы погашения по истечении срока обращения. Облигации используются частными инвесторами для диверсификации инвестиционных портфелей, поскольку они хоть и обеспечивают доходность ниже акций, но по своей сути являются стабильными и меньше подвержены риску ликвидности и волатильности. При этом облигации обеспечивают доходность выше депозитов, что является привлекательным с позиции инвестирования. </w:t>
      </w:r>
    </w:p>
    <w:p w14:paraId="5153EA71" w14:textId="77777777" w:rsidR="00385335" w:rsidRDefault="00385335" w:rsidP="00617E8B">
      <w:pPr>
        <w:rPr>
          <w:lang w:val="ru-RU"/>
        </w:rPr>
      </w:pPr>
      <w:r>
        <w:rPr>
          <w:lang w:val="ru-RU"/>
        </w:rPr>
        <w:t>При выборе облигаций для включения в инвестиционный портфель необходимо учитывать факторы, влияющие на их доходность. К ним относятся: ключевая ставка, рыночная цена, срок погашения, налогообложение, рейтинг эмитента. Например, долгосрочные облигации эмитентов, не вхо</w:t>
      </w:r>
      <w:r>
        <w:rPr>
          <w:lang w:val="ru-RU"/>
        </w:rPr>
        <w:lastRenderedPageBreak/>
        <w:t xml:space="preserve">дящих в список голубых фишек, будут более доходными, но и более рискованными. Чем выше уровень эмитента, тем, как правило, ниже доходность купона, но все же она выше, чем ставка по депозиту. В таблице </w:t>
      </w:r>
      <w:r w:rsidR="0009509E">
        <w:rPr>
          <w:lang w:val="ru-RU"/>
        </w:rPr>
        <w:t>3</w:t>
      </w:r>
      <w:r>
        <w:rPr>
          <w:lang w:val="ru-RU"/>
        </w:rPr>
        <w:t xml:space="preserve"> представлены размеры купонов по облигациям некоторых крупных эмитентов. </w:t>
      </w:r>
    </w:p>
    <w:p w14:paraId="1B55E39E" w14:textId="77777777" w:rsidR="00617E8B" w:rsidRDefault="00617E8B" w:rsidP="008567AD">
      <w:pPr>
        <w:jc w:val="left"/>
        <w:rPr>
          <w:lang w:val="ru-RU"/>
        </w:rPr>
      </w:pPr>
    </w:p>
    <w:p w14:paraId="4909F3D2" w14:textId="77777777" w:rsidR="00385335" w:rsidRPr="009B175F" w:rsidRDefault="00385335" w:rsidP="008567AD">
      <w:pPr>
        <w:jc w:val="left"/>
        <w:rPr>
          <w:lang w:val="ru-RU"/>
        </w:rPr>
      </w:pPr>
      <w:r>
        <w:rPr>
          <w:lang w:val="ru-RU"/>
        </w:rPr>
        <w:t xml:space="preserve">Таблица </w:t>
      </w:r>
      <w:r w:rsidR="0009509E">
        <w:rPr>
          <w:lang w:val="ru-RU"/>
        </w:rPr>
        <w:t>3</w:t>
      </w:r>
      <w:r w:rsidR="008567AD">
        <w:rPr>
          <w:lang w:val="ru-RU"/>
        </w:rPr>
        <w:t xml:space="preserve"> </w:t>
      </w:r>
      <w:r>
        <w:rPr>
          <w:lang w:val="ru-RU"/>
        </w:rPr>
        <w:t>Размеры купон</w:t>
      </w:r>
      <w:r w:rsidR="009B175F">
        <w:rPr>
          <w:lang w:val="ru-RU"/>
        </w:rPr>
        <w:t>ов</w:t>
      </w:r>
      <w:r>
        <w:rPr>
          <w:lang w:val="ru-RU"/>
        </w:rPr>
        <w:t xml:space="preserve"> по облигациям </w:t>
      </w:r>
      <w:r w:rsidR="00A63F7E">
        <w:rPr>
          <w:lang w:val="ru-RU"/>
        </w:rPr>
        <w:t>голубых фишек, %</w:t>
      </w:r>
      <w:r w:rsidR="009B175F">
        <w:rPr>
          <w:lang w:val="ru-RU"/>
        </w:rPr>
        <w:t xml:space="preserve"> </w:t>
      </w:r>
      <w:r w:rsidR="009B175F" w:rsidRPr="009B175F">
        <w:rPr>
          <w:lang w:val="ru-RU"/>
        </w:rPr>
        <w:t>[</w:t>
      </w:r>
      <w:r w:rsidR="00431223">
        <w:rPr>
          <w:lang w:val="ru-RU"/>
        </w:rPr>
        <w:t>9</w:t>
      </w:r>
      <w:r w:rsidR="009B175F" w:rsidRPr="009B175F">
        <w:rPr>
          <w:lang w:val="ru-RU"/>
        </w:rPr>
        <w:t>]</w:t>
      </w:r>
    </w:p>
    <w:tbl>
      <w:tblPr>
        <w:tblStyle w:val="a8"/>
        <w:tblW w:w="0" w:type="auto"/>
        <w:tblLook w:val="04A0" w:firstRow="1" w:lastRow="0" w:firstColumn="1" w:lastColumn="0" w:noHBand="0" w:noVBand="1"/>
      </w:tblPr>
      <w:tblGrid>
        <w:gridCol w:w="2278"/>
        <w:gridCol w:w="2260"/>
        <w:gridCol w:w="2261"/>
        <w:gridCol w:w="2261"/>
      </w:tblGrid>
      <w:tr w:rsidR="00A63F7E" w:rsidRPr="00A63F7E" w14:paraId="4D40CB7B" w14:textId="77777777" w:rsidTr="00A63F7E">
        <w:tc>
          <w:tcPr>
            <w:tcW w:w="2321" w:type="dxa"/>
            <w:vAlign w:val="center"/>
          </w:tcPr>
          <w:p w14:paraId="1DDBADD0" w14:textId="77777777" w:rsidR="00A63F7E" w:rsidRPr="00A63F7E" w:rsidRDefault="00A63F7E" w:rsidP="00617E8B">
            <w:pPr>
              <w:ind w:firstLine="0"/>
              <w:jc w:val="center"/>
              <w:rPr>
                <w:sz w:val="24"/>
                <w:lang w:val="ru-RU"/>
              </w:rPr>
            </w:pPr>
            <w:r w:rsidRPr="00A63F7E">
              <w:rPr>
                <w:sz w:val="24"/>
                <w:lang w:val="ru-RU"/>
              </w:rPr>
              <w:t>Компания</w:t>
            </w:r>
          </w:p>
        </w:tc>
        <w:tc>
          <w:tcPr>
            <w:tcW w:w="2321" w:type="dxa"/>
            <w:vAlign w:val="center"/>
          </w:tcPr>
          <w:p w14:paraId="0FA7B4F8" w14:textId="77777777" w:rsidR="00A63F7E" w:rsidRPr="00A63F7E" w:rsidRDefault="00A63F7E" w:rsidP="00617E8B">
            <w:pPr>
              <w:ind w:firstLine="0"/>
              <w:jc w:val="center"/>
              <w:rPr>
                <w:sz w:val="24"/>
                <w:lang w:val="ru-RU"/>
              </w:rPr>
            </w:pPr>
            <w:r w:rsidRPr="00A63F7E">
              <w:rPr>
                <w:sz w:val="24"/>
                <w:lang w:val="ru-RU"/>
              </w:rPr>
              <w:t>Погашение в 2021-2023 гг.</w:t>
            </w:r>
          </w:p>
        </w:tc>
        <w:tc>
          <w:tcPr>
            <w:tcW w:w="2322" w:type="dxa"/>
            <w:vAlign w:val="center"/>
          </w:tcPr>
          <w:p w14:paraId="2FD64E9C" w14:textId="77777777" w:rsidR="00A63F7E" w:rsidRPr="00A63F7E" w:rsidRDefault="00A63F7E" w:rsidP="00617E8B">
            <w:pPr>
              <w:ind w:firstLine="0"/>
              <w:jc w:val="center"/>
              <w:rPr>
                <w:sz w:val="24"/>
                <w:lang w:val="ru-RU"/>
              </w:rPr>
            </w:pPr>
            <w:r w:rsidRPr="00A63F7E">
              <w:rPr>
                <w:sz w:val="24"/>
                <w:lang w:val="ru-RU"/>
              </w:rPr>
              <w:t>Погашение в 202</w:t>
            </w:r>
            <w:r>
              <w:rPr>
                <w:sz w:val="24"/>
                <w:lang w:val="ru-RU"/>
              </w:rPr>
              <w:t>4</w:t>
            </w:r>
            <w:r w:rsidRPr="00A63F7E">
              <w:rPr>
                <w:sz w:val="24"/>
                <w:lang w:val="ru-RU"/>
              </w:rPr>
              <w:t>-202</w:t>
            </w:r>
            <w:r>
              <w:rPr>
                <w:sz w:val="24"/>
                <w:lang w:val="ru-RU"/>
              </w:rPr>
              <w:t>6</w:t>
            </w:r>
            <w:r w:rsidRPr="00A63F7E">
              <w:rPr>
                <w:sz w:val="24"/>
                <w:lang w:val="ru-RU"/>
              </w:rPr>
              <w:t xml:space="preserve"> гг.</w:t>
            </w:r>
          </w:p>
        </w:tc>
        <w:tc>
          <w:tcPr>
            <w:tcW w:w="2322" w:type="dxa"/>
            <w:vAlign w:val="center"/>
          </w:tcPr>
          <w:p w14:paraId="4B927935" w14:textId="77777777" w:rsidR="00A63F7E" w:rsidRPr="00A63F7E" w:rsidRDefault="00A63F7E" w:rsidP="00617E8B">
            <w:pPr>
              <w:ind w:firstLine="0"/>
              <w:jc w:val="center"/>
              <w:rPr>
                <w:sz w:val="24"/>
                <w:lang w:val="ru-RU"/>
              </w:rPr>
            </w:pPr>
            <w:r w:rsidRPr="00A63F7E">
              <w:rPr>
                <w:sz w:val="24"/>
                <w:lang w:val="ru-RU"/>
              </w:rPr>
              <w:t>Погашение в 202</w:t>
            </w:r>
            <w:r>
              <w:rPr>
                <w:sz w:val="24"/>
                <w:lang w:val="ru-RU"/>
              </w:rPr>
              <w:t>7</w:t>
            </w:r>
            <w:r w:rsidRPr="00A63F7E">
              <w:rPr>
                <w:sz w:val="24"/>
                <w:lang w:val="ru-RU"/>
              </w:rPr>
              <w:t>-20</w:t>
            </w:r>
            <w:r>
              <w:rPr>
                <w:sz w:val="24"/>
                <w:lang w:val="ru-RU"/>
              </w:rPr>
              <w:t>30</w:t>
            </w:r>
            <w:r w:rsidRPr="00A63F7E">
              <w:rPr>
                <w:sz w:val="24"/>
                <w:lang w:val="ru-RU"/>
              </w:rPr>
              <w:t xml:space="preserve"> гг.</w:t>
            </w:r>
          </w:p>
        </w:tc>
      </w:tr>
      <w:tr w:rsidR="00A63F7E" w:rsidRPr="00A63F7E" w14:paraId="14672501" w14:textId="77777777" w:rsidTr="00A63F7E">
        <w:tc>
          <w:tcPr>
            <w:tcW w:w="2321" w:type="dxa"/>
          </w:tcPr>
          <w:p w14:paraId="49CB16BC" w14:textId="77777777" w:rsidR="00A63F7E" w:rsidRPr="00A63F7E" w:rsidRDefault="00A63F7E" w:rsidP="00617E8B">
            <w:pPr>
              <w:ind w:firstLine="0"/>
              <w:jc w:val="left"/>
              <w:rPr>
                <w:sz w:val="24"/>
                <w:lang w:val="ru-RU"/>
              </w:rPr>
            </w:pPr>
            <w:r>
              <w:rPr>
                <w:sz w:val="24"/>
                <w:lang w:val="ru-RU"/>
              </w:rPr>
              <w:t xml:space="preserve">Сбербанк </w:t>
            </w:r>
          </w:p>
        </w:tc>
        <w:tc>
          <w:tcPr>
            <w:tcW w:w="2321" w:type="dxa"/>
          </w:tcPr>
          <w:p w14:paraId="0F33F71A" w14:textId="77777777" w:rsidR="00A63F7E" w:rsidRPr="00A63F7E" w:rsidRDefault="00A63F7E" w:rsidP="00617E8B">
            <w:pPr>
              <w:ind w:firstLine="0"/>
              <w:jc w:val="center"/>
              <w:rPr>
                <w:sz w:val="24"/>
                <w:lang w:val="ru-RU"/>
              </w:rPr>
            </w:pPr>
            <w:r>
              <w:rPr>
                <w:sz w:val="24"/>
                <w:lang w:val="ru-RU"/>
              </w:rPr>
              <w:t>8,45</w:t>
            </w:r>
          </w:p>
        </w:tc>
        <w:tc>
          <w:tcPr>
            <w:tcW w:w="2322" w:type="dxa"/>
          </w:tcPr>
          <w:p w14:paraId="579B5AE3" w14:textId="77777777" w:rsidR="00A63F7E" w:rsidRPr="00A63F7E" w:rsidRDefault="00A63F7E" w:rsidP="00617E8B">
            <w:pPr>
              <w:ind w:firstLine="0"/>
              <w:jc w:val="center"/>
              <w:rPr>
                <w:sz w:val="24"/>
                <w:lang w:val="ru-RU"/>
              </w:rPr>
            </w:pPr>
            <w:r>
              <w:rPr>
                <w:sz w:val="24"/>
                <w:lang w:val="ru-RU"/>
              </w:rPr>
              <w:t>12,27</w:t>
            </w:r>
          </w:p>
        </w:tc>
        <w:tc>
          <w:tcPr>
            <w:tcW w:w="2322" w:type="dxa"/>
          </w:tcPr>
          <w:p w14:paraId="7DFAAA60" w14:textId="77777777" w:rsidR="00A63F7E" w:rsidRPr="00A63F7E" w:rsidRDefault="00A63F7E" w:rsidP="00617E8B">
            <w:pPr>
              <w:ind w:firstLine="0"/>
              <w:jc w:val="center"/>
              <w:rPr>
                <w:sz w:val="24"/>
                <w:lang w:val="ru-RU"/>
              </w:rPr>
            </w:pPr>
            <w:r>
              <w:rPr>
                <w:sz w:val="24"/>
                <w:lang w:val="ru-RU"/>
              </w:rPr>
              <w:t>83,3</w:t>
            </w:r>
          </w:p>
        </w:tc>
      </w:tr>
      <w:tr w:rsidR="00A63F7E" w:rsidRPr="00A63F7E" w14:paraId="0C87645B" w14:textId="77777777" w:rsidTr="00A63F7E">
        <w:tc>
          <w:tcPr>
            <w:tcW w:w="2321" w:type="dxa"/>
          </w:tcPr>
          <w:p w14:paraId="54036237" w14:textId="77777777" w:rsidR="00A63F7E" w:rsidRPr="00A63F7E" w:rsidRDefault="00A63F7E" w:rsidP="00617E8B">
            <w:pPr>
              <w:ind w:firstLine="0"/>
              <w:jc w:val="left"/>
              <w:rPr>
                <w:sz w:val="24"/>
                <w:lang w:val="ru-RU"/>
              </w:rPr>
            </w:pPr>
            <w:r>
              <w:rPr>
                <w:sz w:val="24"/>
                <w:lang w:val="ru-RU"/>
              </w:rPr>
              <w:t xml:space="preserve">Роснефть </w:t>
            </w:r>
          </w:p>
        </w:tc>
        <w:tc>
          <w:tcPr>
            <w:tcW w:w="2321" w:type="dxa"/>
          </w:tcPr>
          <w:p w14:paraId="20DBC36E" w14:textId="77777777" w:rsidR="00A63F7E" w:rsidRPr="00A63F7E" w:rsidRDefault="00A63F7E" w:rsidP="00617E8B">
            <w:pPr>
              <w:ind w:firstLine="0"/>
              <w:jc w:val="center"/>
              <w:rPr>
                <w:sz w:val="24"/>
                <w:lang w:val="ru-RU"/>
              </w:rPr>
            </w:pPr>
            <w:r>
              <w:rPr>
                <w:sz w:val="24"/>
                <w:lang w:val="ru-RU"/>
              </w:rPr>
              <w:t>8,6</w:t>
            </w:r>
          </w:p>
        </w:tc>
        <w:tc>
          <w:tcPr>
            <w:tcW w:w="2322" w:type="dxa"/>
          </w:tcPr>
          <w:p w14:paraId="29E51892" w14:textId="77777777" w:rsidR="00A63F7E" w:rsidRPr="00A63F7E" w:rsidRDefault="00A63F7E" w:rsidP="00617E8B">
            <w:pPr>
              <w:ind w:firstLine="0"/>
              <w:jc w:val="center"/>
              <w:rPr>
                <w:sz w:val="24"/>
                <w:lang w:val="ru-RU"/>
              </w:rPr>
            </w:pPr>
            <w:r>
              <w:rPr>
                <w:sz w:val="24"/>
                <w:lang w:val="ru-RU"/>
              </w:rPr>
              <w:t>9,5</w:t>
            </w:r>
          </w:p>
        </w:tc>
        <w:tc>
          <w:tcPr>
            <w:tcW w:w="2322" w:type="dxa"/>
          </w:tcPr>
          <w:p w14:paraId="54EC6910" w14:textId="77777777" w:rsidR="00A63F7E" w:rsidRPr="00A63F7E" w:rsidRDefault="00A63F7E" w:rsidP="00617E8B">
            <w:pPr>
              <w:ind w:firstLine="0"/>
              <w:jc w:val="center"/>
              <w:rPr>
                <w:sz w:val="24"/>
                <w:lang w:val="ru-RU"/>
              </w:rPr>
            </w:pPr>
            <w:r>
              <w:rPr>
                <w:sz w:val="24"/>
                <w:lang w:val="ru-RU"/>
              </w:rPr>
              <w:t>8,7</w:t>
            </w:r>
          </w:p>
        </w:tc>
      </w:tr>
      <w:tr w:rsidR="00A63F7E" w:rsidRPr="00A63F7E" w14:paraId="1387BBFD" w14:textId="77777777" w:rsidTr="00A63F7E">
        <w:tc>
          <w:tcPr>
            <w:tcW w:w="2321" w:type="dxa"/>
          </w:tcPr>
          <w:p w14:paraId="4121ACDB" w14:textId="77777777" w:rsidR="00A63F7E" w:rsidRPr="00A63F7E" w:rsidRDefault="00A63F7E" w:rsidP="00617E8B">
            <w:pPr>
              <w:ind w:firstLine="0"/>
              <w:jc w:val="left"/>
              <w:rPr>
                <w:sz w:val="24"/>
                <w:lang w:val="ru-RU"/>
              </w:rPr>
            </w:pPr>
            <w:r>
              <w:rPr>
                <w:sz w:val="24"/>
                <w:lang w:val="ru-RU"/>
              </w:rPr>
              <w:t xml:space="preserve">Татнефть </w:t>
            </w:r>
          </w:p>
        </w:tc>
        <w:tc>
          <w:tcPr>
            <w:tcW w:w="2321" w:type="dxa"/>
          </w:tcPr>
          <w:p w14:paraId="43F1376F" w14:textId="77777777" w:rsidR="00A63F7E" w:rsidRPr="00A63F7E" w:rsidRDefault="00A63F7E" w:rsidP="00617E8B">
            <w:pPr>
              <w:ind w:firstLine="0"/>
              <w:jc w:val="center"/>
              <w:rPr>
                <w:sz w:val="24"/>
                <w:lang w:val="ru-RU"/>
              </w:rPr>
            </w:pPr>
            <w:r>
              <w:rPr>
                <w:sz w:val="24"/>
                <w:lang w:val="ru-RU"/>
              </w:rPr>
              <w:t>6,45</w:t>
            </w:r>
          </w:p>
        </w:tc>
        <w:tc>
          <w:tcPr>
            <w:tcW w:w="2322" w:type="dxa"/>
          </w:tcPr>
          <w:p w14:paraId="17E86A0E" w14:textId="77777777" w:rsidR="00A63F7E" w:rsidRPr="00A63F7E" w:rsidRDefault="00A63F7E" w:rsidP="00617E8B">
            <w:pPr>
              <w:ind w:firstLine="0"/>
              <w:jc w:val="center"/>
              <w:rPr>
                <w:sz w:val="24"/>
                <w:lang w:val="ru-RU"/>
              </w:rPr>
            </w:pPr>
            <w:r>
              <w:rPr>
                <w:sz w:val="24"/>
                <w:lang w:val="ru-RU"/>
              </w:rPr>
              <w:t>-</w:t>
            </w:r>
          </w:p>
        </w:tc>
        <w:tc>
          <w:tcPr>
            <w:tcW w:w="2322" w:type="dxa"/>
          </w:tcPr>
          <w:p w14:paraId="4A394E90" w14:textId="77777777" w:rsidR="00A63F7E" w:rsidRPr="00A63F7E" w:rsidRDefault="00A63F7E" w:rsidP="00617E8B">
            <w:pPr>
              <w:ind w:firstLine="0"/>
              <w:jc w:val="center"/>
              <w:rPr>
                <w:sz w:val="24"/>
                <w:lang w:val="ru-RU"/>
              </w:rPr>
            </w:pPr>
            <w:r>
              <w:rPr>
                <w:sz w:val="24"/>
                <w:lang w:val="ru-RU"/>
              </w:rPr>
              <w:t>-</w:t>
            </w:r>
          </w:p>
        </w:tc>
      </w:tr>
      <w:tr w:rsidR="00A63F7E" w:rsidRPr="00A63F7E" w14:paraId="0C10B450" w14:textId="77777777" w:rsidTr="00A63F7E">
        <w:tc>
          <w:tcPr>
            <w:tcW w:w="2321" w:type="dxa"/>
          </w:tcPr>
          <w:p w14:paraId="59438BEF" w14:textId="77777777" w:rsidR="00A63F7E" w:rsidRPr="00A63F7E" w:rsidRDefault="00A63F7E" w:rsidP="00617E8B">
            <w:pPr>
              <w:ind w:firstLine="0"/>
              <w:jc w:val="left"/>
              <w:rPr>
                <w:sz w:val="24"/>
                <w:lang w:val="ru-RU"/>
              </w:rPr>
            </w:pPr>
            <w:r>
              <w:rPr>
                <w:sz w:val="24"/>
                <w:lang w:val="ru-RU"/>
              </w:rPr>
              <w:t>МТС</w:t>
            </w:r>
          </w:p>
        </w:tc>
        <w:tc>
          <w:tcPr>
            <w:tcW w:w="2321" w:type="dxa"/>
          </w:tcPr>
          <w:p w14:paraId="0F5C446A" w14:textId="77777777" w:rsidR="00A63F7E" w:rsidRPr="00A63F7E" w:rsidRDefault="00A63F7E" w:rsidP="00617E8B">
            <w:pPr>
              <w:ind w:firstLine="0"/>
              <w:jc w:val="center"/>
              <w:rPr>
                <w:sz w:val="24"/>
                <w:lang w:val="ru-RU"/>
              </w:rPr>
            </w:pPr>
            <w:r>
              <w:rPr>
                <w:sz w:val="24"/>
                <w:lang w:val="ru-RU"/>
              </w:rPr>
              <w:t>9</w:t>
            </w:r>
          </w:p>
        </w:tc>
        <w:tc>
          <w:tcPr>
            <w:tcW w:w="2322" w:type="dxa"/>
          </w:tcPr>
          <w:p w14:paraId="61B96242" w14:textId="77777777" w:rsidR="00A63F7E" w:rsidRPr="00A63F7E" w:rsidRDefault="00A63F7E" w:rsidP="00617E8B">
            <w:pPr>
              <w:ind w:firstLine="0"/>
              <w:jc w:val="center"/>
              <w:rPr>
                <w:sz w:val="24"/>
                <w:lang w:val="ru-RU"/>
              </w:rPr>
            </w:pPr>
            <w:r>
              <w:rPr>
                <w:sz w:val="24"/>
                <w:lang w:val="ru-RU"/>
              </w:rPr>
              <w:t>8,7</w:t>
            </w:r>
          </w:p>
        </w:tc>
        <w:tc>
          <w:tcPr>
            <w:tcW w:w="2322" w:type="dxa"/>
          </w:tcPr>
          <w:p w14:paraId="1FFB7052" w14:textId="77777777" w:rsidR="00A63F7E" w:rsidRPr="00A63F7E" w:rsidRDefault="00A63F7E" w:rsidP="00617E8B">
            <w:pPr>
              <w:ind w:firstLine="0"/>
              <w:jc w:val="center"/>
              <w:rPr>
                <w:sz w:val="24"/>
                <w:lang w:val="ru-RU"/>
              </w:rPr>
            </w:pPr>
            <w:r>
              <w:rPr>
                <w:sz w:val="24"/>
                <w:lang w:val="ru-RU"/>
              </w:rPr>
              <w:t>-</w:t>
            </w:r>
          </w:p>
        </w:tc>
      </w:tr>
      <w:tr w:rsidR="00A63F7E" w:rsidRPr="00A63F7E" w14:paraId="5415480E" w14:textId="77777777" w:rsidTr="00A63F7E">
        <w:tc>
          <w:tcPr>
            <w:tcW w:w="2321" w:type="dxa"/>
          </w:tcPr>
          <w:p w14:paraId="77E20F37" w14:textId="77777777" w:rsidR="00A63F7E" w:rsidRPr="00A63F7E" w:rsidRDefault="00A63F7E" w:rsidP="00617E8B">
            <w:pPr>
              <w:ind w:firstLine="0"/>
              <w:jc w:val="left"/>
              <w:rPr>
                <w:sz w:val="24"/>
                <w:lang w:val="ru-RU"/>
              </w:rPr>
            </w:pPr>
            <w:r>
              <w:rPr>
                <w:sz w:val="24"/>
                <w:lang w:val="ru-RU"/>
              </w:rPr>
              <w:t>Полюс</w:t>
            </w:r>
          </w:p>
        </w:tc>
        <w:tc>
          <w:tcPr>
            <w:tcW w:w="2321" w:type="dxa"/>
          </w:tcPr>
          <w:p w14:paraId="366EACFD" w14:textId="77777777" w:rsidR="00A63F7E" w:rsidRPr="00A63F7E" w:rsidRDefault="00A63F7E" w:rsidP="00617E8B">
            <w:pPr>
              <w:ind w:firstLine="0"/>
              <w:jc w:val="center"/>
              <w:rPr>
                <w:sz w:val="24"/>
                <w:lang w:val="ru-RU"/>
              </w:rPr>
            </w:pPr>
            <w:r>
              <w:rPr>
                <w:sz w:val="24"/>
                <w:lang w:val="ru-RU"/>
              </w:rPr>
              <w:t>5,25 (в долларах)</w:t>
            </w:r>
          </w:p>
        </w:tc>
        <w:tc>
          <w:tcPr>
            <w:tcW w:w="2322" w:type="dxa"/>
          </w:tcPr>
          <w:p w14:paraId="4EEF3110" w14:textId="77777777" w:rsidR="00A63F7E" w:rsidRPr="00A63F7E" w:rsidRDefault="00A63F7E" w:rsidP="00617E8B">
            <w:pPr>
              <w:ind w:firstLine="0"/>
              <w:jc w:val="center"/>
              <w:rPr>
                <w:sz w:val="24"/>
                <w:lang w:val="ru-RU"/>
              </w:rPr>
            </w:pPr>
            <w:r>
              <w:rPr>
                <w:sz w:val="24"/>
                <w:lang w:val="ru-RU"/>
              </w:rPr>
              <w:t>12,1</w:t>
            </w:r>
          </w:p>
        </w:tc>
        <w:tc>
          <w:tcPr>
            <w:tcW w:w="2322" w:type="dxa"/>
          </w:tcPr>
          <w:p w14:paraId="493A13C5" w14:textId="77777777" w:rsidR="00A63F7E" w:rsidRPr="00A63F7E" w:rsidRDefault="00A63F7E" w:rsidP="00617E8B">
            <w:pPr>
              <w:ind w:firstLine="0"/>
              <w:jc w:val="center"/>
              <w:rPr>
                <w:sz w:val="24"/>
                <w:lang w:val="ru-RU"/>
              </w:rPr>
            </w:pPr>
            <w:r>
              <w:rPr>
                <w:sz w:val="24"/>
                <w:lang w:val="ru-RU"/>
              </w:rPr>
              <w:t>7,4</w:t>
            </w:r>
          </w:p>
        </w:tc>
      </w:tr>
      <w:tr w:rsidR="00A63F7E" w:rsidRPr="00A63F7E" w14:paraId="503C433A" w14:textId="77777777" w:rsidTr="00A63F7E">
        <w:tc>
          <w:tcPr>
            <w:tcW w:w="2321" w:type="dxa"/>
          </w:tcPr>
          <w:p w14:paraId="4F7A129B" w14:textId="77777777" w:rsidR="00A63F7E" w:rsidRPr="00A63F7E" w:rsidRDefault="00A63F7E" w:rsidP="00617E8B">
            <w:pPr>
              <w:ind w:firstLine="0"/>
              <w:jc w:val="left"/>
              <w:rPr>
                <w:sz w:val="24"/>
                <w:lang w:val="ru-RU"/>
              </w:rPr>
            </w:pPr>
            <w:r>
              <w:rPr>
                <w:sz w:val="24"/>
                <w:lang w:val="ru-RU"/>
              </w:rPr>
              <w:t xml:space="preserve">Магнит </w:t>
            </w:r>
          </w:p>
        </w:tc>
        <w:tc>
          <w:tcPr>
            <w:tcW w:w="2321" w:type="dxa"/>
          </w:tcPr>
          <w:p w14:paraId="1928B621" w14:textId="77777777" w:rsidR="00A63F7E" w:rsidRPr="00A63F7E" w:rsidRDefault="00A63F7E" w:rsidP="00617E8B">
            <w:pPr>
              <w:ind w:firstLine="0"/>
              <w:jc w:val="center"/>
              <w:rPr>
                <w:sz w:val="24"/>
                <w:lang w:val="ru-RU"/>
              </w:rPr>
            </w:pPr>
            <w:r>
              <w:rPr>
                <w:sz w:val="24"/>
                <w:lang w:val="ru-RU"/>
              </w:rPr>
              <w:t>8,7</w:t>
            </w:r>
          </w:p>
        </w:tc>
        <w:tc>
          <w:tcPr>
            <w:tcW w:w="2322" w:type="dxa"/>
          </w:tcPr>
          <w:p w14:paraId="49DFC018" w14:textId="77777777" w:rsidR="00A63F7E" w:rsidRPr="00A63F7E" w:rsidRDefault="00A63F7E" w:rsidP="00617E8B">
            <w:pPr>
              <w:ind w:firstLine="0"/>
              <w:jc w:val="center"/>
              <w:rPr>
                <w:sz w:val="24"/>
                <w:lang w:val="ru-RU"/>
              </w:rPr>
            </w:pPr>
            <w:r>
              <w:rPr>
                <w:sz w:val="24"/>
                <w:lang w:val="ru-RU"/>
              </w:rPr>
              <w:t>-</w:t>
            </w:r>
          </w:p>
        </w:tc>
        <w:tc>
          <w:tcPr>
            <w:tcW w:w="2322" w:type="dxa"/>
          </w:tcPr>
          <w:p w14:paraId="27D923B9" w14:textId="77777777" w:rsidR="00A63F7E" w:rsidRPr="00A63F7E" w:rsidRDefault="00A63F7E" w:rsidP="00617E8B">
            <w:pPr>
              <w:ind w:firstLine="0"/>
              <w:jc w:val="center"/>
              <w:rPr>
                <w:sz w:val="24"/>
                <w:lang w:val="ru-RU"/>
              </w:rPr>
            </w:pPr>
            <w:r>
              <w:rPr>
                <w:sz w:val="24"/>
                <w:lang w:val="ru-RU"/>
              </w:rPr>
              <w:t>-</w:t>
            </w:r>
          </w:p>
        </w:tc>
      </w:tr>
      <w:tr w:rsidR="00A63F7E" w:rsidRPr="00A63F7E" w14:paraId="0F5B89A2" w14:textId="77777777" w:rsidTr="00A63F7E">
        <w:tc>
          <w:tcPr>
            <w:tcW w:w="2321" w:type="dxa"/>
          </w:tcPr>
          <w:p w14:paraId="32EBEBCD" w14:textId="77777777" w:rsidR="00A63F7E" w:rsidRPr="00A63F7E" w:rsidRDefault="00A63F7E" w:rsidP="00617E8B">
            <w:pPr>
              <w:ind w:firstLine="0"/>
              <w:jc w:val="left"/>
              <w:rPr>
                <w:sz w:val="24"/>
                <w:lang w:val="ru-RU"/>
              </w:rPr>
            </w:pPr>
            <w:r>
              <w:rPr>
                <w:sz w:val="24"/>
                <w:lang w:val="ru-RU"/>
              </w:rPr>
              <w:t>АЛРОСА</w:t>
            </w:r>
          </w:p>
        </w:tc>
        <w:tc>
          <w:tcPr>
            <w:tcW w:w="2321" w:type="dxa"/>
          </w:tcPr>
          <w:p w14:paraId="1FC1E83F" w14:textId="77777777" w:rsidR="00A63F7E" w:rsidRPr="00A63F7E" w:rsidRDefault="00A63F7E" w:rsidP="00617E8B">
            <w:pPr>
              <w:ind w:firstLine="0"/>
              <w:jc w:val="center"/>
              <w:rPr>
                <w:sz w:val="24"/>
                <w:lang w:val="ru-RU"/>
              </w:rPr>
            </w:pPr>
            <w:r>
              <w:rPr>
                <w:sz w:val="24"/>
                <w:lang w:val="ru-RU"/>
              </w:rPr>
              <w:t>-</w:t>
            </w:r>
          </w:p>
        </w:tc>
        <w:tc>
          <w:tcPr>
            <w:tcW w:w="2322" w:type="dxa"/>
          </w:tcPr>
          <w:p w14:paraId="6CF78B61" w14:textId="77777777" w:rsidR="00A63F7E" w:rsidRPr="00A63F7E" w:rsidRDefault="00A63F7E" w:rsidP="00617E8B">
            <w:pPr>
              <w:ind w:firstLine="0"/>
              <w:jc w:val="center"/>
              <w:rPr>
                <w:sz w:val="24"/>
                <w:lang w:val="ru-RU"/>
              </w:rPr>
            </w:pPr>
            <w:r>
              <w:rPr>
                <w:sz w:val="24"/>
                <w:lang w:val="ru-RU"/>
              </w:rPr>
              <w:t>4,65 (в долларах)</w:t>
            </w:r>
          </w:p>
        </w:tc>
        <w:tc>
          <w:tcPr>
            <w:tcW w:w="2322" w:type="dxa"/>
          </w:tcPr>
          <w:p w14:paraId="6FAB07EA" w14:textId="77777777" w:rsidR="00A63F7E" w:rsidRPr="00A63F7E" w:rsidRDefault="00A63F7E" w:rsidP="00617E8B">
            <w:pPr>
              <w:ind w:firstLine="0"/>
              <w:jc w:val="center"/>
              <w:rPr>
                <w:sz w:val="24"/>
                <w:lang w:val="ru-RU"/>
              </w:rPr>
            </w:pPr>
            <w:r>
              <w:rPr>
                <w:sz w:val="24"/>
                <w:lang w:val="ru-RU"/>
              </w:rPr>
              <w:t>-</w:t>
            </w:r>
          </w:p>
        </w:tc>
      </w:tr>
      <w:tr w:rsidR="00A63F7E" w:rsidRPr="00A63F7E" w14:paraId="22274192" w14:textId="77777777" w:rsidTr="00A63F7E">
        <w:tc>
          <w:tcPr>
            <w:tcW w:w="2321" w:type="dxa"/>
          </w:tcPr>
          <w:p w14:paraId="45BBB570" w14:textId="77777777" w:rsidR="00A63F7E" w:rsidRPr="00A63F7E" w:rsidRDefault="00A63F7E" w:rsidP="00617E8B">
            <w:pPr>
              <w:ind w:firstLine="0"/>
              <w:jc w:val="left"/>
              <w:rPr>
                <w:sz w:val="24"/>
                <w:lang w:val="ru-RU"/>
              </w:rPr>
            </w:pPr>
            <w:r>
              <w:rPr>
                <w:sz w:val="24"/>
                <w:lang w:val="ru-RU"/>
              </w:rPr>
              <w:t>НЛМК</w:t>
            </w:r>
          </w:p>
        </w:tc>
        <w:tc>
          <w:tcPr>
            <w:tcW w:w="2321" w:type="dxa"/>
          </w:tcPr>
          <w:p w14:paraId="4D2C5C42" w14:textId="77777777" w:rsidR="00A63F7E" w:rsidRPr="00A63F7E" w:rsidRDefault="00A63F7E" w:rsidP="00617E8B">
            <w:pPr>
              <w:ind w:firstLine="0"/>
              <w:jc w:val="center"/>
              <w:rPr>
                <w:sz w:val="24"/>
                <w:lang w:val="ru-RU"/>
              </w:rPr>
            </w:pPr>
            <w:r>
              <w:rPr>
                <w:sz w:val="24"/>
                <w:lang w:val="ru-RU"/>
              </w:rPr>
              <w:t>4,5</w:t>
            </w:r>
          </w:p>
        </w:tc>
        <w:tc>
          <w:tcPr>
            <w:tcW w:w="2322" w:type="dxa"/>
          </w:tcPr>
          <w:p w14:paraId="39DC3043" w14:textId="77777777" w:rsidR="00A63F7E" w:rsidRPr="00A63F7E" w:rsidRDefault="00A63F7E" w:rsidP="00617E8B">
            <w:pPr>
              <w:ind w:firstLine="0"/>
              <w:jc w:val="center"/>
              <w:rPr>
                <w:sz w:val="24"/>
                <w:lang w:val="ru-RU"/>
              </w:rPr>
            </w:pPr>
            <w:r>
              <w:rPr>
                <w:sz w:val="24"/>
                <w:lang w:val="ru-RU"/>
              </w:rPr>
              <w:t>4,7 (в долларах)</w:t>
            </w:r>
          </w:p>
        </w:tc>
        <w:tc>
          <w:tcPr>
            <w:tcW w:w="2322" w:type="dxa"/>
          </w:tcPr>
          <w:p w14:paraId="4F343D7A" w14:textId="77777777" w:rsidR="00A63F7E" w:rsidRPr="00A63F7E" w:rsidRDefault="00A63F7E" w:rsidP="00617E8B">
            <w:pPr>
              <w:ind w:firstLine="0"/>
              <w:jc w:val="center"/>
              <w:rPr>
                <w:sz w:val="24"/>
                <w:lang w:val="ru-RU"/>
              </w:rPr>
            </w:pPr>
            <w:r>
              <w:rPr>
                <w:sz w:val="24"/>
                <w:lang w:val="ru-RU"/>
              </w:rPr>
              <w:t>-</w:t>
            </w:r>
          </w:p>
        </w:tc>
      </w:tr>
    </w:tbl>
    <w:p w14:paraId="570B461E" w14:textId="77777777" w:rsidR="00A63F7E" w:rsidRDefault="00A63F7E" w:rsidP="008567AD">
      <w:pPr>
        <w:jc w:val="left"/>
        <w:rPr>
          <w:lang w:val="ru-RU"/>
        </w:rPr>
      </w:pPr>
    </w:p>
    <w:p w14:paraId="668DE30F" w14:textId="77777777" w:rsidR="005367C9" w:rsidRDefault="008E2E3E" w:rsidP="00617E8B">
      <w:pPr>
        <w:rPr>
          <w:lang w:val="ru-RU"/>
        </w:rPr>
      </w:pPr>
      <w:r>
        <w:rPr>
          <w:lang w:val="ru-RU"/>
        </w:rPr>
        <w:t xml:space="preserve">Среди обширного спектра представленных на рынке облигаций можно выбрать и более доходными, но они будут принадлежать ко второму и третьему эшелону, что существенно повышает их риск. </w:t>
      </w:r>
    </w:p>
    <w:p w14:paraId="6C4CA172" w14:textId="77777777" w:rsidR="00774086" w:rsidRDefault="008E2E3E" w:rsidP="00617E8B">
      <w:pPr>
        <w:rPr>
          <w:szCs w:val="28"/>
          <w:lang w:val="ru-RU"/>
        </w:rPr>
      </w:pPr>
      <w:r>
        <w:rPr>
          <w:lang w:val="ru-RU"/>
        </w:rPr>
        <w:t>Еще одним инструментом, который может быть использован для формирования стабильного инвестиционного портфеля, являются драгоценные металлы. Инвестирование в драгоценные металлы более доходны, чем банковский депозит</w:t>
      </w:r>
      <w:r w:rsidR="00774086">
        <w:rPr>
          <w:lang w:val="ru-RU"/>
        </w:rPr>
        <w:t xml:space="preserve">, что привлекает внимание инвесторов. Но при этом порой драгоценные металлы могут потерять ликвидность, особенно в стабильные времена. Так, высокий спрос на золото формируется в период кризисных явлений, поскольку до сих пор данный актив считается одним из самых надежных с позиции устойчивости к макроэкономическим колебаниям. Так, за последний год доходность золота как объекта инвестирования составила 42% </w:t>
      </w:r>
      <w:r w:rsidR="00774086" w:rsidRPr="00774086">
        <w:rPr>
          <w:lang w:val="ru-RU"/>
        </w:rPr>
        <w:t>[</w:t>
      </w:r>
      <w:r w:rsidR="00431223">
        <w:rPr>
          <w:lang w:val="ru-RU"/>
        </w:rPr>
        <w:t>8</w:t>
      </w:r>
      <w:r w:rsidR="00774086" w:rsidRPr="00774086">
        <w:rPr>
          <w:lang w:val="ru-RU"/>
        </w:rPr>
        <w:t>]</w:t>
      </w:r>
      <w:r w:rsidR="00774086">
        <w:rPr>
          <w:lang w:val="ru-RU"/>
        </w:rPr>
        <w:t>. Драгоценные м</w:t>
      </w:r>
      <w:r w:rsidR="00774086">
        <w:rPr>
          <w:szCs w:val="28"/>
          <w:lang w:val="ru-RU"/>
        </w:rPr>
        <w:t>еталлы – подходящий актив для инвестирования в долгосрочной перспективе. Об этом свидетельствует тот факт, что цена золота, как основного</w:t>
      </w:r>
      <w:r w:rsidR="00774086" w:rsidRPr="00AA57BD">
        <w:rPr>
          <w:szCs w:val="28"/>
          <w:lang w:val="ru-RU"/>
        </w:rPr>
        <w:t xml:space="preserve"> актив</w:t>
      </w:r>
      <w:r w:rsidR="00774086">
        <w:rPr>
          <w:szCs w:val="28"/>
          <w:lang w:val="ru-RU"/>
        </w:rPr>
        <w:t>а</w:t>
      </w:r>
      <w:r w:rsidR="00774086" w:rsidRPr="00AA57BD">
        <w:rPr>
          <w:szCs w:val="28"/>
          <w:lang w:val="ru-RU"/>
        </w:rPr>
        <w:t xml:space="preserve"> среди драгметаллов</w:t>
      </w:r>
      <w:r w:rsidR="00774086">
        <w:rPr>
          <w:szCs w:val="28"/>
          <w:lang w:val="ru-RU"/>
        </w:rPr>
        <w:t>,</w:t>
      </w:r>
      <w:r w:rsidR="00774086" w:rsidRPr="00AA57BD">
        <w:rPr>
          <w:szCs w:val="28"/>
          <w:lang w:val="ru-RU"/>
        </w:rPr>
        <w:t xml:space="preserve"> </w:t>
      </w:r>
      <w:r w:rsidR="00774086">
        <w:rPr>
          <w:szCs w:val="28"/>
          <w:lang w:val="ru-RU"/>
        </w:rPr>
        <w:t>растет</w:t>
      </w:r>
      <w:r w:rsidR="00774086" w:rsidRPr="00AA57BD">
        <w:rPr>
          <w:szCs w:val="28"/>
          <w:lang w:val="ru-RU"/>
        </w:rPr>
        <w:t xml:space="preserve"> </w:t>
      </w:r>
      <w:r w:rsidR="00774086">
        <w:rPr>
          <w:szCs w:val="28"/>
          <w:lang w:val="ru-RU"/>
        </w:rPr>
        <w:t>10 лет подряд. Д</w:t>
      </w:r>
      <w:r w:rsidR="00774086" w:rsidRPr="00AA57BD">
        <w:rPr>
          <w:szCs w:val="28"/>
          <w:lang w:val="ru-RU"/>
        </w:rPr>
        <w:t>оходность по больш</w:t>
      </w:r>
      <w:r w:rsidR="00774086">
        <w:rPr>
          <w:szCs w:val="28"/>
          <w:lang w:val="ru-RU"/>
        </w:rPr>
        <w:t>инству металлов составляет от 7%</w:t>
      </w:r>
      <w:r w:rsidR="00774086" w:rsidRPr="00AA57BD">
        <w:rPr>
          <w:szCs w:val="28"/>
          <w:lang w:val="ru-RU"/>
        </w:rPr>
        <w:t xml:space="preserve"> годовых</w:t>
      </w:r>
      <w:r w:rsidR="00774086">
        <w:rPr>
          <w:szCs w:val="28"/>
          <w:lang w:val="ru-RU"/>
        </w:rPr>
        <w:t>.</w:t>
      </w:r>
    </w:p>
    <w:p w14:paraId="52DA7AF0" w14:textId="77777777" w:rsidR="00B0056D" w:rsidRPr="00B0056D" w:rsidRDefault="00700CD2" w:rsidP="00617E8B">
      <w:pPr>
        <w:rPr>
          <w:szCs w:val="28"/>
          <w:lang w:val="ru-RU"/>
        </w:rPr>
      </w:pPr>
      <w:r>
        <w:rPr>
          <w:szCs w:val="28"/>
          <w:lang w:val="ru-RU"/>
        </w:rPr>
        <w:t xml:space="preserve">Довольно часто частные инвесторы используют в своей практике не отдельно </w:t>
      </w:r>
      <w:r w:rsidR="00730424">
        <w:rPr>
          <w:szCs w:val="28"/>
          <w:lang w:val="ru-RU"/>
        </w:rPr>
        <w:t xml:space="preserve">взятые инструменты, перечисленные выше, а составленные на их основе индексные инструменты. Речь идет о различных фондах. В настоящее время самыми распространенными являются паевые инвестиционные фонды </w:t>
      </w:r>
      <w:r w:rsidR="00730424" w:rsidRPr="00730424">
        <w:rPr>
          <w:szCs w:val="28"/>
          <w:lang w:val="ru-RU"/>
        </w:rPr>
        <w:t>(</w:t>
      </w:r>
      <w:r w:rsidR="00EA28D4">
        <w:rPr>
          <w:szCs w:val="28"/>
          <w:lang w:val="ru-RU"/>
        </w:rPr>
        <w:t xml:space="preserve">ПИФ) и биржевые инвестиционные фонды </w:t>
      </w:r>
      <w:r w:rsidR="00EA28D4" w:rsidRPr="00EA28D4">
        <w:rPr>
          <w:szCs w:val="28"/>
          <w:lang w:val="ru-RU"/>
        </w:rPr>
        <w:t>(</w:t>
      </w:r>
      <w:r w:rsidR="00EA28D4">
        <w:rPr>
          <w:szCs w:val="28"/>
        </w:rPr>
        <w:t>ETF</w:t>
      </w:r>
      <w:r w:rsidR="00EA28D4" w:rsidRPr="00EA28D4">
        <w:rPr>
          <w:szCs w:val="28"/>
          <w:lang w:val="ru-RU"/>
        </w:rPr>
        <w:t>)</w:t>
      </w:r>
      <w:r w:rsidR="00B26BBB">
        <w:rPr>
          <w:szCs w:val="28"/>
          <w:lang w:val="ru-RU"/>
        </w:rPr>
        <w:t xml:space="preserve"> </w:t>
      </w:r>
      <w:r w:rsidR="00B26BBB" w:rsidRPr="00B26BBB">
        <w:rPr>
          <w:szCs w:val="28"/>
          <w:lang w:val="ru-RU"/>
        </w:rPr>
        <w:t>[</w:t>
      </w:r>
      <w:r w:rsidR="001366AA">
        <w:rPr>
          <w:szCs w:val="28"/>
          <w:lang w:val="ru-RU"/>
        </w:rPr>
        <w:t>1</w:t>
      </w:r>
      <w:r w:rsidR="00B26BBB" w:rsidRPr="00B26BBB">
        <w:rPr>
          <w:szCs w:val="28"/>
          <w:lang w:val="ru-RU"/>
        </w:rPr>
        <w:t>]</w:t>
      </w:r>
      <w:r w:rsidR="00EA28D4">
        <w:rPr>
          <w:szCs w:val="28"/>
          <w:lang w:val="ru-RU"/>
        </w:rPr>
        <w:t xml:space="preserve">. </w:t>
      </w:r>
      <w:r w:rsidR="00B0056D">
        <w:rPr>
          <w:szCs w:val="28"/>
          <w:lang w:val="ru-RU"/>
        </w:rPr>
        <w:t xml:space="preserve">Отличия данных инструментов подробно рассмотрены во многих работах </w:t>
      </w:r>
      <w:r w:rsidR="00B0056D" w:rsidRPr="00730424">
        <w:rPr>
          <w:szCs w:val="28"/>
          <w:lang w:val="ru-RU"/>
        </w:rPr>
        <w:t>[</w:t>
      </w:r>
      <w:r w:rsidR="00611BBF">
        <w:rPr>
          <w:szCs w:val="28"/>
          <w:lang w:val="ru-RU"/>
        </w:rPr>
        <w:t>5</w:t>
      </w:r>
      <w:r w:rsidR="00B0056D">
        <w:rPr>
          <w:szCs w:val="28"/>
          <w:lang w:val="ru-RU"/>
        </w:rPr>
        <w:t xml:space="preserve">, </w:t>
      </w:r>
      <w:r w:rsidR="001366AA">
        <w:rPr>
          <w:szCs w:val="28"/>
          <w:lang w:val="ru-RU"/>
        </w:rPr>
        <w:t>7</w:t>
      </w:r>
      <w:r w:rsidR="00B0056D" w:rsidRPr="00730424">
        <w:rPr>
          <w:szCs w:val="28"/>
          <w:lang w:val="ru-RU"/>
        </w:rPr>
        <w:t>]</w:t>
      </w:r>
      <w:r w:rsidR="00B0056D">
        <w:rPr>
          <w:szCs w:val="28"/>
          <w:lang w:val="ru-RU"/>
        </w:rPr>
        <w:t xml:space="preserve">. Эти инструменты являются способом коллективного инвестирования, предполагающие участие огромного количества частных инвесторов, что позволяет профессиональным инвесторам осуществлять на рынке различные </w:t>
      </w:r>
      <w:r w:rsidR="00B0056D">
        <w:rPr>
          <w:szCs w:val="28"/>
          <w:lang w:val="ru-RU"/>
        </w:rPr>
        <w:lastRenderedPageBreak/>
        <w:t xml:space="preserve">стратегии, сформированные на основе различных индексов. Как правило, за основу могут быть взяты индексы бирж различных стран </w:t>
      </w:r>
      <w:r w:rsidR="00B0056D" w:rsidRPr="00B0056D">
        <w:rPr>
          <w:szCs w:val="28"/>
          <w:lang w:val="ru-RU"/>
        </w:rPr>
        <w:t>(</w:t>
      </w:r>
      <w:r w:rsidR="00B0056D">
        <w:rPr>
          <w:szCs w:val="28"/>
          <w:lang w:val="ru-RU"/>
        </w:rPr>
        <w:t xml:space="preserve">ММВБ, </w:t>
      </w:r>
      <w:r w:rsidR="00B0056D">
        <w:rPr>
          <w:szCs w:val="28"/>
        </w:rPr>
        <w:t>S</w:t>
      </w:r>
      <w:r w:rsidR="00B0056D" w:rsidRPr="00B0056D">
        <w:rPr>
          <w:szCs w:val="28"/>
          <w:lang w:val="ru-RU"/>
        </w:rPr>
        <w:t>&amp;</w:t>
      </w:r>
      <w:r w:rsidR="00B0056D">
        <w:rPr>
          <w:szCs w:val="28"/>
        </w:rPr>
        <w:t>P</w:t>
      </w:r>
      <w:r w:rsidR="00B0056D">
        <w:rPr>
          <w:szCs w:val="28"/>
          <w:lang w:val="ru-RU"/>
        </w:rPr>
        <w:t xml:space="preserve">, </w:t>
      </w:r>
      <w:r w:rsidR="00B0056D">
        <w:rPr>
          <w:szCs w:val="28"/>
        </w:rPr>
        <w:t>NASDAQ</w:t>
      </w:r>
      <w:r w:rsidR="00B0056D" w:rsidRPr="00B0056D">
        <w:rPr>
          <w:szCs w:val="28"/>
          <w:lang w:val="ru-RU"/>
        </w:rPr>
        <w:t xml:space="preserve">, </w:t>
      </w:r>
      <w:r w:rsidR="00B0056D">
        <w:rPr>
          <w:szCs w:val="28"/>
        </w:rPr>
        <w:t>CAC</w:t>
      </w:r>
      <w:r w:rsidR="00B0056D">
        <w:rPr>
          <w:szCs w:val="28"/>
          <w:lang w:val="ru-RU"/>
        </w:rPr>
        <w:t>40</w:t>
      </w:r>
      <w:r w:rsidR="00B0056D" w:rsidRPr="00B0056D">
        <w:rPr>
          <w:szCs w:val="28"/>
          <w:lang w:val="ru-RU"/>
        </w:rPr>
        <w:t xml:space="preserve">, </w:t>
      </w:r>
      <w:r w:rsidR="00B0056D">
        <w:rPr>
          <w:szCs w:val="28"/>
        </w:rPr>
        <w:t>DAX</w:t>
      </w:r>
      <w:r w:rsidR="00B0056D">
        <w:rPr>
          <w:szCs w:val="28"/>
          <w:lang w:val="ru-RU"/>
        </w:rPr>
        <w:t xml:space="preserve"> и др.) или индексы по разным отраслям или инструментам (</w:t>
      </w:r>
      <w:r w:rsidR="00B0056D">
        <w:rPr>
          <w:szCs w:val="28"/>
        </w:rPr>
        <w:t>IT</w:t>
      </w:r>
      <w:r w:rsidR="00B0056D">
        <w:rPr>
          <w:szCs w:val="28"/>
          <w:lang w:val="ru-RU"/>
        </w:rPr>
        <w:t xml:space="preserve">-отрасль, золото, корпоративные облигации отдельной страны и т.д.). </w:t>
      </w:r>
    </w:p>
    <w:p w14:paraId="22AB3204" w14:textId="77777777" w:rsidR="00700CD2" w:rsidRDefault="000F5E8C" w:rsidP="00617E8B">
      <w:pPr>
        <w:rPr>
          <w:szCs w:val="28"/>
          <w:lang w:val="ru-RU"/>
        </w:rPr>
      </w:pPr>
      <w:r>
        <w:rPr>
          <w:szCs w:val="28"/>
          <w:lang w:val="ru-RU"/>
        </w:rPr>
        <w:t xml:space="preserve">Данные инструменты являются довольно доходными, о чем свидетельствуют показатели капитальной доходности (табл. 4). </w:t>
      </w:r>
    </w:p>
    <w:p w14:paraId="1CAA7B5A" w14:textId="77777777" w:rsidR="00617E8B" w:rsidRDefault="00617E8B" w:rsidP="008567AD">
      <w:pPr>
        <w:jc w:val="left"/>
        <w:rPr>
          <w:szCs w:val="28"/>
          <w:lang w:val="ru-RU"/>
        </w:rPr>
      </w:pPr>
    </w:p>
    <w:p w14:paraId="534AF280" w14:textId="77777777" w:rsidR="000F5E8C" w:rsidRPr="00510A14" w:rsidRDefault="000F5E8C" w:rsidP="008567AD">
      <w:pPr>
        <w:jc w:val="left"/>
        <w:rPr>
          <w:szCs w:val="28"/>
          <w:lang w:val="ru-RU"/>
        </w:rPr>
      </w:pPr>
      <w:r>
        <w:rPr>
          <w:szCs w:val="28"/>
          <w:lang w:val="ru-RU"/>
        </w:rPr>
        <w:t>Таблица 4</w:t>
      </w:r>
      <w:r w:rsidR="008567AD">
        <w:rPr>
          <w:szCs w:val="28"/>
          <w:lang w:val="ru-RU"/>
        </w:rPr>
        <w:t xml:space="preserve"> </w:t>
      </w:r>
      <w:r>
        <w:rPr>
          <w:szCs w:val="28"/>
          <w:lang w:val="ru-RU"/>
        </w:rPr>
        <w:t xml:space="preserve">Самые доходные ПИФ и </w:t>
      </w:r>
      <w:r>
        <w:rPr>
          <w:szCs w:val="28"/>
        </w:rPr>
        <w:t>ETF</w:t>
      </w:r>
      <w:r>
        <w:rPr>
          <w:szCs w:val="28"/>
          <w:lang w:val="ru-RU"/>
        </w:rPr>
        <w:t xml:space="preserve"> по итогам 2020 года</w:t>
      </w:r>
      <w:r w:rsidR="003229B7">
        <w:rPr>
          <w:szCs w:val="28"/>
          <w:lang w:val="ru-RU"/>
        </w:rPr>
        <w:t>, %</w:t>
      </w:r>
      <w:r w:rsidR="00510A14">
        <w:rPr>
          <w:szCs w:val="28"/>
          <w:lang w:val="ru-RU"/>
        </w:rPr>
        <w:t xml:space="preserve"> </w:t>
      </w:r>
      <w:r w:rsidR="00510A14" w:rsidRPr="00510A14">
        <w:rPr>
          <w:szCs w:val="28"/>
          <w:lang w:val="ru-RU"/>
        </w:rPr>
        <w:t>[</w:t>
      </w:r>
      <w:r w:rsidR="00B706B1">
        <w:rPr>
          <w:szCs w:val="28"/>
          <w:lang w:val="ru-RU"/>
        </w:rPr>
        <w:t>10</w:t>
      </w:r>
      <w:r w:rsidR="00510A14" w:rsidRPr="00510A14">
        <w:rPr>
          <w:szCs w:val="28"/>
          <w:lang w:val="ru-RU"/>
        </w:rPr>
        <w:t>]</w:t>
      </w:r>
    </w:p>
    <w:tbl>
      <w:tblPr>
        <w:tblStyle w:val="a8"/>
        <w:tblW w:w="0" w:type="auto"/>
        <w:tblLook w:val="04A0" w:firstRow="1" w:lastRow="0" w:firstColumn="1" w:lastColumn="0" w:noHBand="0" w:noVBand="1"/>
      </w:tblPr>
      <w:tblGrid>
        <w:gridCol w:w="2898"/>
        <w:gridCol w:w="1456"/>
        <w:gridCol w:w="3290"/>
        <w:gridCol w:w="1416"/>
      </w:tblGrid>
      <w:tr w:rsidR="003229B7" w:rsidRPr="003229B7" w14:paraId="492ACBD9" w14:textId="77777777" w:rsidTr="003229B7">
        <w:tc>
          <w:tcPr>
            <w:tcW w:w="4416" w:type="dxa"/>
            <w:gridSpan w:val="2"/>
            <w:vAlign w:val="center"/>
          </w:tcPr>
          <w:p w14:paraId="7D460B49" w14:textId="77777777" w:rsidR="003229B7" w:rsidRPr="003229B7" w:rsidRDefault="003229B7" w:rsidP="00617E8B">
            <w:pPr>
              <w:ind w:firstLine="0"/>
              <w:jc w:val="center"/>
              <w:rPr>
                <w:sz w:val="24"/>
                <w:szCs w:val="24"/>
                <w:lang w:val="ru-RU"/>
              </w:rPr>
            </w:pPr>
            <w:r w:rsidRPr="003229B7">
              <w:rPr>
                <w:sz w:val="24"/>
                <w:szCs w:val="24"/>
                <w:lang w:val="ru-RU"/>
              </w:rPr>
              <w:t>ПИФ</w:t>
            </w:r>
          </w:p>
        </w:tc>
        <w:tc>
          <w:tcPr>
            <w:tcW w:w="4779" w:type="dxa"/>
            <w:gridSpan w:val="2"/>
            <w:vAlign w:val="center"/>
          </w:tcPr>
          <w:p w14:paraId="032BFA37" w14:textId="77777777" w:rsidR="003229B7" w:rsidRPr="003229B7" w:rsidRDefault="003229B7" w:rsidP="00617E8B">
            <w:pPr>
              <w:ind w:firstLine="0"/>
              <w:jc w:val="center"/>
              <w:rPr>
                <w:sz w:val="24"/>
                <w:szCs w:val="24"/>
                <w:lang w:val="ru-RU"/>
              </w:rPr>
            </w:pPr>
            <w:r w:rsidRPr="003229B7">
              <w:rPr>
                <w:sz w:val="24"/>
                <w:szCs w:val="24"/>
                <w:lang w:val="ru-RU"/>
              </w:rPr>
              <w:t>ETF</w:t>
            </w:r>
          </w:p>
        </w:tc>
      </w:tr>
      <w:tr w:rsidR="003229B7" w:rsidRPr="003229B7" w14:paraId="31444818" w14:textId="77777777" w:rsidTr="003229B7">
        <w:tc>
          <w:tcPr>
            <w:tcW w:w="2943" w:type="dxa"/>
            <w:vAlign w:val="center"/>
          </w:tcPr>
          <w:p w14:paraId="09DB22B2" w14:textId="77777777" w:rsidR="003229B7" w:rsidRDefault="003229B7" w:rsidP="00617E8B">
            <w:pPr>
              <w:ind w:firstLine="0"/>
              <w:jc w:val="center"/>
              <w:rPr>
                <w:sz w:val="24"/>
                <w:szCs w:val="24"/>
                <w:lang w:val="ru-RU"/>
              </w:rPr>
            </w:pPr>
            <w:r>
              <w:rPr>
                <w:sz w:val="24"/>
                <w:szCs w:val="24"/>
                <w:lang w:val="ru-RU"/>
              </w:rPr>
              <w:t>Название фонда</w:t>
            </w:r>
          </w:p>
        </w:tc>
        <w:tc>
          <w:tcPr>
            <w:tcW w:w="1473" w:type="dxa"/>
            <w:vAlign w:val="center"/>
          </w:tcPr>
          <w:p w14:paraId="36CECF7F" w14:textId="77777777" w:rsidR="003229B7" w:rsidRDefault="003229B7" w:rsidP="00617E8B">
            <w:pPr>
              <w:ind w:firstLine="0"/>
              <w:jc w:val="center"/>
              <w:rPr>
                <w:sz w:val="24"/>
                <w:szCs w:val="24"/>
                <w:lang w:val="ru-RU"/>
              </w:rPr>
            </w:pPr>
            <w:r>
              <w:rPr>
                <w:sz w:val="24"/>
                <w:szCs w:val="24"/>
                <w:lang w:val="ru-RU"/>
              </w:rPr>
              <w:t>Доходность</w:t>
            </w:r>
          </w:p>
        </w:tc>
        <w:tc>
          <w:tcPr>
            <w:tcW w:w="3347" w:type="dxa"/>
            <w:vAlign w:val="center"/>
          </w:tcPr>
          <w:p w14:paraId="36FB03E5" w14:textId="77777777" w:rsidR="003229B7" w:rsidRDefault="003229B7" w:rsidP="00617E8B">
            <w:pPr>
              <w:ind w:firstLine="0"/>
              <w:jc w:val="center"/>
              <w:rPr>
                <w:sz w:val="24"/>
                <w:szCs w:val="24"/>
                <w:lang w:val="ru-RU"/>
              </w:rPr>
            </w:pPr>
            <w:r>
              <w:rPr>
                <w:sz w:val="24"/>
                <w:szCs w:val="24"/>
                <w:lang w:val="ru-RU"/>
              </w:rPr>
              <w:t>Название фонда</w:t>
            </w:r>
          </w:p>
        </w:tc>
        <w:tc>
          <w:tcPr>
            <w:tcW w:w="1432" w:type="dxa"/>
            <w:vAlign w:val="center"/>
          </w:tcPr>
          <w:p w14:paraId="56D129FA" w14:textId="77777777" w:rsidR="003229B7" w:rsidRDefault="003229B7" w:rsidP="00617E8B">
            <w:pPr>
              <w:ind w:firstLine="0"/>
              <w:jc w:val="center"/>
              <w:rPr>
                <w:sz w:val="24"/>
                <w:szCs w:val="24"/>
                <w:lang w:val="ru-RU"/>
              </w:rPr>
            </w:pPr>
            <w:r>
              <w:rPr>
                <w:sz w:val="24"/>
                <w:szCs w:val="24"/>
                <w:lang w:val="ru-RU"/>
              </w:rPr>
              <w:t>Доходность</w:t>
            </w:r>
          </w:p>
        </w:tc>
      </w:tr>
      <w:tr w:rsidR="000F5E8C" w:rsidRPr="003229B7" w14:paraId="050C0973" w14:textId="77777777" w:rsidTr="003229B7">
        <w:tc>
          <w:tcPr>
            <w:tcW w:w="2943" w:type="dxa"/>
            <w:vAlign w:val="center"/>
          </w:tcPr>
          <w:p w14:paraId="238E8641" w14:textId="77777777" w:rsidR="000F5E8C" w:rsidRPr="003229B7" w:rsidRDefault="003229B7" w:rsidP="00617E8B">
            <w:pPr>
              <w:ind w:firstLine="0"/>
              <w:jc w:val="left"/>
              <w:rPr>
                <w:sz w:val="24"/>
                <w:szCs w:val="24"/>
                <w:lang w:val="ru-RU"/>
              </w:rPr>
            </w:pPr>
            <w:r>
              <w:rPr>
                <w:sz w:val="24"/>
                <w:szCs w:val="24"/>
                <w:lang w:val="ru-RU"/>
              </w:rPr>
              <w:t>Система Капитал – Высокие технологии</w:t>
            </w:r>
          </w:p>
        </w:tc>
        <w:tc>
          <w:tcPr>
            <w:tcW w:w="1473" w:type="dxa"/>
            <w:vAlign w:val="center"/>
          </w:tcPr>
          <w:p w14:paraId="2DC134AB" w14:textId="77777777" w:rsidR="000F5E8C" w:rsidRPr="003229B7" w:rsidRDefault="003229B7" w:rsidP="00617E8B">
            <w:pPr>
              <w:ind w:firstLine="0"/>
              <w:jc w:val="center"/>
              <w:rPr>
                <w:sz w:val="24"/>
                <w:szCs w:val="24"/>
                <w:lang w:val="ru-RU"/>
              </w:rPr>
            </w:pPr>
            <w:r>
              <w:rPr>
                <w:sz w:val="24"/>
                <w:szCs w:val="24"/>
                <w:lang w:val="ru-RU"/>
              </w:rPr>
              <w:t>109,4</w:t>
            </w:r>
          </w:p>
        </w:tc>
        <w:tc>
          <w:tcPr>
            <w:tcW w:w="3347" w:type="dxa"/>
            <w:vAlign w:val="center"/>
          </w:tcPr>
          <w:p w14:paraId="680E61C8" w14:textId="77777777" w:rsidR="000F5E8C" w:rsidRPr="003229B7" w:rsidRDefault="003229B7" w:rsidP="00617E8B">
            <w:pPr>
              <w:ind w:firstLine="0"/>
              <w:jc w:val="left"/>
              <w:rPr>
                <w:sz w:val="24"/>
                <w:szCs w:val="24"/>
                <w:lang w:val="ru-RU"/>
              </w:rPr>
            </w:pPr>
            <w:proofErr w:type="spellStart"/>
            <w:r w:rsidRPr="003229B7">
              <w:rPr>
                <w:sz w:val="24"/>
                <w:szCs w:val="24"/>
                <w:lang w:val="ru-RU"/>
              </w:rPr>
              <w:t>Freedom</w:t>
            </w:r>
            <w:proofErr w:type="spellEnd"/>
            <w:r w:rsidRPr="003229B7">
              <w:rPr>
                <w:sz w:val="24"/>
                <w:szCs w:val="24"/>
                <w:lang w:val="ru-RU"/>
              </w:rPr>
              <w:t xml:space="preserve"> </w:t>
            </w:r>
            <w:proofErr w:type="spellStart"/>
            <w:r w:rsidRPr="003229B7">
              <w:rPr>
                <w:sz w:val="24"/>
                <w:szCs w:val="24"/>
                <w:lang w:val="ru-RU"/>
              </w:rPr>
              <w:t>Finance</w:t>
            </w:r>
            <w:proofErr w:type="spellEnd"/>
            <w:r w:rsidRPr="003229B7">
              <w:rPr>
                <w:sz w:val="24"/>
                <w:szCs w:val="24"/>
                <w:lang w:val="ru-RU"/>
              </w:rPr>
              <w:t xml:space="preserve"> - Акции IT-компаний США</w:t>
            </w:r>
          </w:p>
        </w:tc>
        <w:tc>
          <w:tcPr>
            <w:tcW w:w="1432" w:type="dxa"/>
            <w:vAlign w:val="center"/>
          </w:tcPr>
          <w:p w14:paraId="0ACA1172" w14:textId="77777777" w:rsidR="000F5E8C" w:rsidRPr="003229B7" w:rsidRDefault="003229B7" w:rsidP="00617E8B">
            <w:pPr>
              <w:ind w:firstLine="0"/>
              <w:jc w:val="center"/>
              <w:rPr>
                <w:sz w:val="24"/>
                <w:szCs w:val="24"/>
                <w:lang w:val="ru-RU"/>
              </w:rPr>
            </w:pPr>
            <w:r>
              <w:rPr>
                <w:sz w:val="24"/>
                <w:szCs w:val="24"/>
                <w:lang w:val="ru-RU"/>
              </w:rPr>
              <w:t>84,9</w:t>
            </w:r>
          </w:p>
        </w:tc>
      </w:tr>
      <w:tr w:rsidR="000F5E8C" w:rsidRPr="003229B7" w14:paraId="273F1F9C" w14:textId="77777777" w:rsidTr="003229B7">
        <w:tc>
          <w:tcPr>
            <w:tcW w:w="2943" w:type="dxa"/>
            <w:vAlign w:val="center"/>
          </w:tcPr>
          <w:p w14:paraId="39D33BBF" w14:textId="77777777" w:rsidR="000F5E8C" w:rsidRPr="003229B7" w:rsidRDefault="003229B7" w:rsidP="00617E8B">
            <w:pPr>
              <w:ind w:firstLine="0"/>
              <w:jc w:val="left"/>
              <w:rPr>
                <w:sz w:val="24"/>
                <w:szCs w:val="24"/>
                <w:lang w:val="ru-RU"/>
              </w:rPr>
            </w:pPr>
            <w:r>
              <w:rPr>
                <w:sz w:val="24"/>
                <w:szCs w:val="24"/>
                <w:lang w:val="ru-RU"/>
              </w:rPr>
              <w:t xml:space="preserve">Аленка – Капитал </w:t>
            </w:r>
          </w:p>
        </w:tc>
        <w:tc>
          <w:tcPr>
            <w:tcW w:w="1473" w:type="dxa"/>
            <w:vAlign w:val="center"/>
          </w:tcPr>
          <w:p w14:paraId="77A7E659" w14:textId="77777777" w:rsidR="000F5E8C" w:rsidRPr="003229B7" w:rsidRDefault="003229B7" w:rsidP="00617E8B">
            <w:pPr>
              <w:ind w:firstLine="0"/>
              <w:jc w:val="center"/>
              <w:rPr>
                <w:sz w:val="24"/>
                <w:szCs w:val="24"/>
                <w:lang w:val="ru-RU"/>
              </w:rPr>
            </w:pPr>
            <w:r>
              <w:rPr>
                <w:sz w:val="24"/>
                <w:szCs w:val="24"/>
                <w:lang w:val="ru-RU"/>
              </w:rPr>
              <w:t>94,48</w:t>
            </w:r>
          </w:p>
        </w:tc>
        <w:tc>
          <w:tcPr>
            <w:tcW w:w="3347" w:type="dxa"/>
            <w:vAlign w:val="center"/>
          </w:tcPr>
          <w:p w14:paraId="7F3CEDF9" w14:textId="77777777" w:rsidR="000F5E8C" w:rsidRPr="003229B7" w:rsidRDefault="003229B7" w:rsidP="00617E8B">
            <w:pPr>
              <w:ind w:firstLine="0"/>
              <w:jc w:val="left"/>
              <w:rPr>
                <w:sz w:val="24"/>
                <w:szCs w:val="24"/>
                <w:lang w:val="ru-RU"/>
              </w:rPr>
            </w:pPr>
            <w:proofErr w:type="spellStart"/>
            <w:r w:rsidRPr="003229B7">
              <w:rPr>
                <w:sz w:val="24"/>
                <w:szCs w:val="24"/>
                <w:lang w:val="ru-RU"/>
              </w:rPr>
              <w:t>FinEx</w:t>
            </w:r>
            <w:proofErr w:type="spellEnd"/>
            <w:r w:rsidRPr="003229B7">
              <w:rPr>
                <w:sz w:val="24"/>
                <w:szCs w:val="24"/>
                <w:lang w:val="ru-RU"/>
              </w:rPr>
              <w:t xml:space="preserve">  - Акции IT-компаний США</w:t>
            </w:r>
          </w:p>
        </w:tc>
        <w:tc>
          <w:tcPr>
            <w:tcW w:w="1432" w:type="dxa"/>
            <w:vAlign w:val="center"/>
          </w:tcPr>
          <w:p w14:paraId="5F825D38" w14:textId="77777777" w:rsidR="000F5E8C" w:rsidRPr="003229B7" w:rsidRDefault="003229B7" w:rsidP="00617E8B">
            <w:pPr>
              <w:ind w:firstLine="0"/>
              <w:jc w:val="center"/>
              <w:rPr>
                <w:sz w:val="24"/>
                <w:szCs w:val="24"/>
                <w:lang w:val="ru-RU"/>
              </w:rPr>
            </w:pPr>
            <w:r>
              <w:rPr>
                <w:sz w:val="24"/>
                <w:szCs w:val="24"/>
                <w:lang w:val="ru-RU"/>
              </w:rPr>
              <w:t>76,9</w:t>
            </w:r>
          </w:p>
        </w:tc>
      </w:tr>
      <w:tr w:rsidR="000F5E8C" w:rsidRPr="003229B7" w14:paraId="7F275303" w14:textId="77777777" w:rsidTr="003229B7">
        <w:tc>
          <w:tcPr>
            <w:tcW w:w="2943" w:type="dxa"/>
            <w:vAlign w:val="center"/>
          </w:tcPr>
          <w:p w14:paraId="3BAC7D96" w14:textId="77777777" w:rsidR="000F5E8C" w:rsidRPr="003229B7" w:rsidRDefault="003229B7" w:rsidP="00617E8B">
            <w:pPr>
              <w:ind w:firstLine="0"/>
              <w:jc w:val="left"/>
              <w:rPr>
                <w:sz w:val="24"/>
                <w:szCs w:val="24"/>
                <w:lang w:val="ru-RU"/>
              </w:rPr>
            </w:pPr>
            <w:r>
              <w:rPr>
                <w:sz w:val="24"/>
                <w:szCs w:val="24"/>
                <w:lang w:val="ru-RU"/>
              </w:rPr>
              <w:t xml:space="preserve">ПРОМСВЯЗЬ – Перспективные вложения </w:t>
            </w:r>
          </w:p>
        </w:tc>
        <w:tc>
          <w:tcPr>
            <w:tcW w:w="1473" w:type="dxa"/>
            <w:vAlign w:val="center"/>
          </w:tcPr>
          <w:p w14:paraId="635ABC21" w14:textId="77777777" w:rsidR="000F5E8C" w:rsidRPr="003229B7" w:rsidRDefault="003229B7" w:rsidP="00617E8B">
            <w:pPr>
              <w:ind w:firstLine="0"/>
              <w:jc w:val="center"/>
              <w:rPr>
                <w:sz w:val="24"/>
                <w:szCs w:val="24"/>
                <w:lang w:val="ru-RU"/>
              </w:rPr>
            </w:pPr>
            <w:r>
              <w:rPr>
                <w:sz w:val="24"/>
                <w:szCs w:val="24"/>
                <w:lang w:val="ru-RU"/>
              </w:rPr>
              <w:t>89,2</w:t>
            </w:r>
          </w:p>
        </w:tc>
        <w:tc>
          <w:tcPr>
            <w:tcW w:w="3347" w:type="dxa"/>
            <w:vAlign w:val="center"/>
          </w:tcPr>
          <w:p w14:paraId="2AF0399F" w14:textId="77777777" w:rsidR="000F5E8C" w:rsidRPr="003229B7" w:rsidRDefault="003229B7" w:rsidP="00617E8B">
            <w:pPr>
              <w:ind w:firstLine="0"/>
              <w:jc w:val="left"/>
              <w:rPr>
                <w:sz w:val="24"/>
                <w:szCs w:val="24"/>
                <w:lang w:val="ru-RU"/>
              </w:rPr>
            </w:pPr>
            <w:proofErr w:type="spellStart"/>
            <w:r w:rsidRPr="003229B7">
              <w:rPr>
                <w:sz w:val="24"/>
                <w:szCs w:val="24"/>
                <w:lang w:val="ru-RU"/>
              </w:rPr>
              <w:t>FinEx</w:t>
            </w:r>
            <w:proofErr w:type="spellEnd"/>
            <w:r w:rsidRPr="003229B7">
              <w:rPr>
                <w:sz w:val="24"/>
                <w:szCs w:val="24"/>
                <w:lang w:val="ru-RU"/>
              </w:rPr>
              <w:t xml:space="preserve"> - Китайские акции</w:t>
            </w:r>
          </w:p>
        </w:tc>
        <w:tc>
          <w:tcPr>
            <w:tcW w:w="1432" w:type="dxa"/>
            <w:vAlign w:val="center"/>
          </w:tcPr>
          <w:p w14:paraId="5CDF575C" w14:textId="77777777" w:rsidR="000F5E8C" w:rsidRPr="003229B7" w:rsidRDefault="003229B7" w:rsidP="00617E8B">
            <w:pPr>
              <w:ind w:firstLine="0"/>
              <w:jc w:val="center"/>
              <w:rPr>
                <w:sz w:val="24"/>
                <w:szCs w:val="24"/>
                <w:lang w:val="ru-RU"/>
              </w:rPr>
            </w:pPr>
            <w:r>
              <w:rPr>
                <w:sz w:val="24"/>
                <w:szCs w:val="24"/>
                <w:lang w:val="ru-RU"/>
              </w:rPr>
              <w:t>48,2</w:t>
            </w:r>
          </w:p>
        </w:tc>
      </w:tr>
      <w:tr w:rsidR="000F5E8C" w:rsidRPr="003229B7" w14:paraId="14E68253" w14:textId="77777777" w:rsidTr="003229B7">
        <w:tc>
          <w:tcPr>
            <w:tcW w:w="2943" w:type="dxa"/>
            <w:vAlign w:val="center"/>
          </w:tcPr>
          <w:p w14:paraId="22A89E31" w14:textId="77777777" w:rsidR="000F5E8C" w:rsidRPr="003229B7" w:rsidRDefault="003229B7" w:rsidP="00617E8B">
            <w:pPr>
              <w:ind w:firstLine="0"/>
              <w:jc w:val="left"/>
              <w:rPr>
                <w:sz w:val="24"/>
                <w:szCs w:val="24"/>
                <w:lang w:val="ru-RU"/>
              </w:rPr>
            </w:pPr>
            <w:r>
              <w:rPr>
                <w:sz w:val="24"/>
                <w:szCs w:val="24"/>
                <w:lang w:val="ru-RU"/>
              </w:rPr>
              <w:t>Открытие – Лидеры инноваций</w:t>
            </w:r>
          </w:p>
        </w:tc>
        <w:tc>
          <w:tcPr>
            <w:tcW w:w="1473" w:type="dxa"/>
            <w:vAlign w:val="center"/>
          </w:tcPr>
          <w:p w14:paraId="39C97A45" w14:textId="77777777" w:rsidR="000F5E8C" w:rsidRPr="003229B7" w:rsidRDefault="003229B7" w:rsidP="00617E8B">
            <w:pPr>
              <w:ind w:firstLine="0"/>
              <w:jc w:val="center"/>
              <w:rPr>
                <w:sz w:val="24"/>
                <w:szCs w:val="24"/>
                <w:lang w:val="ru-RU"/>
              </w:rPr>
            </w:pPr>
            <w:r>
              <w:rPr>
                <w:sz w:val="24"/>
                <w:szCs w:val="24"/>
                <w:lang w:val="ru-RU"/>
              </w:rPr>
              <w:t>87,45</w:t>
            </w:r>
          </w:p>
        </w:tc>
        <w:tc>
          <w:tcPr>
            <w:tcW w:w="3347" w:type="dxa"/>
            <w:vAlign w:val="center"/>
          </w:tcPr>
          <w:p w14:paraId="016472F3" w14:textId="77777777" w:rsidR="000F5E8C" w:rsidRPr="003229B7" w:rsidRDefault="003229B7" w:rsidP="00617E8B">
            <w:pPr>
              <w:ind w:firstLine="0"/>
              <w:jc w:val="left"/>
              <w:rPr>
                <w:sz w:val="24"/>
                <w:szCs w:val="24"/>
                <w:lang w:val="ru-RU"/>
              </w:rPr>
            </w:pPr>
            <w:proofErr w:type="spellStart"/>
            <w:r w:rsidRPr="003229B7">
              <w:rPr>
                <w:sz w:val="24"/>
                <w:szCs w:val="24"/>
                <w:lang w:val="ru-RU"/>
              </w:rPr>
              <w:t>FinEx</w:t>
            </w:r>
            <w:proofErr w:type="spellEnd"/>
            <w:r w:rsidRPr="003229B7">
              <w:rPr>
                <w:sz w:val="24"/>
                <w:szCs w:val="24"/>
                <w:lang w:val="ru-RU"/>
              </w:rPr>
              <w:t xml:space="preserve"> - Золото</w:t>
            </w:r>
          </w:p>
        </w:tc>
        <w:tc>
          <w:tcPr>
            <w:tcW w:w="1432" w:type="dxa"/>
            <w:vAlign w:val="center"/>
          </w:tcPr>
          <w:p w14:paraId="059A8B81" w14:textId="77777777" w:rsidR="000F5E8C" w:rsidRPr="003229B7" w:rsidRDefault="003229B7" w:rsidP="00617E8B">
            <w:pPr>
              <w:ind w:firstLine="0"/>
              <w:jc w:val="center"/>
              <w:rPr>
                <w:sz w:val="24"/>
                <w:szCs w:val="24"/>
                <w:lang w:val="ru-RU"/>
              </w:rPr>
            </w:pPr>
            <w:r>
              <w:rPr>
                <w:sz w:val="24"/>
                <w:szCs w:val="24"/>
                <w:lang w:val="ru-RU"/>
              </w:rPr>
              <w:t>46,5</w:t>
            </w:r>
          </w:p>
        </w:tc>
      </w:tr>
      <w:tr w:rsidR="000F5E8C" w:rsidRPr="003229B7" w14:paraId="705716FB" w14:textId="77777777" w:rsidTr="003229B7">
        <w:tc>
          <w:tcPr>
            <w:tcW w:w="2943" w:type="dxa"/>
            <w:vAlign w:val="center"/>
          </w:tcPr>
          <w:p w14:paraId="6A225A70" w14:textId="77777777" w:rsidR="000F5E8C" w:rsidRPr="003229B7" w:rsidRDefault="003229B7" w:rsidP="00617E8B">
            <w:pPr>
              <w:ind w:firstLine="0"/>
              <w:jc w:val="left"/>
              <w:rPr>
                <w:sz w:val="24"/>
                <w:szCs w:val="24"/>
                <w:lang w:val="ru-RU"/>
              </w:rPr>
            </w:pPr>
            <w:r>
              <w:rPr>
                <w:sz w:val="24"/>
                <w:szCs w:val="24"/>
                <w:lang w:val="ru-RU"/>
              </w:rPr>
              <w:t xml:space="preserve">Газпромбанк – Нефть </w:t>
            </w:r>
          </w:p>
        </w:tc>
        <w:tc>
          <w:tcPr>
            <w:tcW w:w="1473" w:type="dxa"/>
            <w:vAlign w:val="center"/>
          </w:tcPr>
          <w:p w14:paraId="42F462AB" w14:textId="77777777" w:rsidR="000F5E8C" w:rsidRPr="003229B7" w:rsidRDefault="003229B7" w:rsidP="00617E8B">
            <w:pPr>
              <w:ind w:firstLine="0"/>
              <w:jc w:val="center"/>
              <w:rPr>
                <w:sz w:val="24"/>
                <w:szCs w:val="24"/>
                <w:lang w:val="ru-RU"/>
              </w:rPr>
            </w:pPr>
            <w:r>
              <w:rPr>
                <w:sz w:val="24"/>
                <w:szCs w:val="24"/>
                <w:lang w:val="ru-RU"/>
              </w:rPr>
              <w:t>86,86</w:t>
            </w:r>
          </w:p>
        </w:tc>
        <w:tc>
          <w:tcPr>
            <w:tcW w:w="3347" w:type="dxa"/>
            <w:vAlign w:val="center"/>
          </w:tcPr>
          <w:p w14:paraId="347A2053" w14:textId="77777777" w:rsidR="000F5E8C" w:rsidRPr="003229B7" w:rsidRDefault="003229B7" w:rsidP="00617E8B">
            <w:pPr>
              <w:ind w:firstLine="0"/>
              <w:jc w:val="left"/>
              <w:rPr>
                <w:sz w:val="24"/>
                <w:szCs w:val="24"/>
                <w:lang w:val="ru-RU"/>
              </w:rPr>
            </w:pPr>
            <w:proofErr w:type="spellStart"/>
            <w:r w:rsidRPr="003229B7">
              <w:rPr>
                <w:sz w:val="24"/>
                <w:szCs w:val="24"/>
                <w:lang w:val="ru-RU"/>
              </w:rPr>
              <w:t>FinEx</w:t>
            </w:r>
            <w:proofErr w:type="spellEnd"/>
            <w:r w:rsidRPr="003229B7">
              <w:rPr>
                <w:sz w:val="24"/>
                <w:szCs w:val="24"/>
                <w:lang w:val="ru-RU"/>
              </w:rPr>
              <w:t xml:space="preserve"> - Акции компаний США</w:t>
            </w:r>
          </w:p>
        </w:tc>
        <w:tc>
          <w:tcPr>
            <w:tcW w:w="1432" w:type="dxa"/>
            <w:vAlign w:val="center"/>
          </w:tcPr>
          <w:p w14:paraId="4C36E0B3" w14:textId="77777777" w:rsidR="000F5E8C" w:rsidRPr="003229B7" w:rsidRDefault="003229B7" w:rsidP="00617E8B">
            <w:pPr>
              <w:ind w:firstLine="0"/>
              <w:jc w:val="center"/>
              <w:rPr>
                <w:sz w:val="24"/>
                <w:szCs w:val="24"/>
                <w:lang w:val="ru-RU"/>
              </w:rPr>
            </w:pPr>
            <w:r>
              <w:rPr>
                <w:sz w:val="24"/>
                <w:szCs w:val="24"/>
                <w:lang w:val="ru-RU"/>
              </w:rPr>
              <w:t>44,4</w:t>
            </w:r>
          </w:p>
        </w:tc>
      </w:tr>
      <w:tr w:rsidR="000F5E8C" w:rsidRPr="003229B7" w14:paraId="19837F1A" w14:textId="77777777" w:rsidTr="003229B7">
        <w:tc>
          <w:tcPr>
            <w:tcW w:w="2943" w:type="dxa"/>
            <w:vAlign w:val="center"/>
          </w:tcPr>
          <w:p w14:paraId="581980DC" w14:textId="77777777" w:rsidR="000F5E8C" w:rsidRPr="003229B7" w:rsidRDefault="003229B7" w:rsidP="00617E8B">
            <w:pPr>
              <w:ind w:firstLine="0"/>
              <w:jc w:val="left"/>
              <w:rPr>
                <w:sz w:val="24"/>
                <w:szCs w:val="24"/>
                <w:lang w:val="ru-RU"/>
              </w:rPr>
            </w:pPr>
            <w:r>
              <w:rPr>
                <w:sz w:val="24"/>
                <w:szCs w:val="24"/>
                <w:lang w:val="ru-RU"/>
              </w:rPr>
              <w:t xml:space="preserve">БКС – </w:t>
            </w:r>
            <w:r w:rsidRPr="003229B7">
              <w:rPr>
                <w:sz w:val="24"/>
                <w:szCs w:val="24"/>
                <w:lang w:val="ru-RU"/>
              </w:rPr>
              <w:t>XXII</w:t>
            </w:r>
            <w:r>
              <w:rPr>
                <w:sz w:val="24"/>
                <w:szCs w:val="24"/>
                <w:lang w:val="ru-RU"/>
              </w:rPr>
              <w:t xml:space="preserve"> век</w:t>
            </w:r>
          </w:p>
        </w:tc>
        <w:tc>
          <w:tcPr>
            <w:tcW w:w="1473" w:type="dxa"/>
            <w:vAlign w:val="center"/>
          </w:tcPr>
          <w:p w14:paraId="6571647E" w14:textId="77777777" w:rsidR="000F5E8C" w:rsidRPr="003229B7" w:rsidRDefault="003229B7" w:rsidP="00617E8B">
            <w:pPr>
              <w:ind w:firstLine="0"/>
              <w:jc w:val="center"/>
              <w:rPr>
                <w:sz w:val="24"/>
                <w:szCs w:val="24"/>
                <w:lang w:val="ru-RU"/>
              </w:rPr>
            </w:pPr>
            <w:r>
              <w:rPr>
                <w:sz w:val="24"/>
                <w:szCs w:val="24"/>
                <w:lang w:val="ru-RU"/>
              </w:rPr>
              <w:t>77,7</w:t>
            </w:r>
          </w:p>
        </w:tc>
        <w:tc>
          <w:tcPr>
            <w:tcW w:w="3347" w:type="dxa"/>
            <w:vAlign w:val="center"/>
          </w:tcPr>
          <w:p w14:paraId="4A29172E" w14:textId="77777777" w:rsidR="000F5E8C" w:rsidRPr="003229B7" w:rsidRDefault="003229B7" w:rsidP="00617E8B">
            <w:pPr>
              <w:ind w:firstLine="0"/>
              <w:jc w:val="left"/>
              <w:rPr>
                <w:sz w:val="24"/>
                <w:szCs w:val="24"/>
                <w:lang w:val="ru-RU"/>
              </w:rPr>
            </w:pPr>
            <w:r w:rsidRPr="003229B7">
              <w:rPr>
                <w:sz w:val="24"/>
                <w:szCs w:val="24"/>
                <w:lang w:val="ru-RU"/>
              </w:rPr>
              <w:t>Альфа Капитал  - Акции компаний США</w:t>
            </w:r>
          </w:p>
        </w:tc>
        <w:tc>
          <w:tcPr>
            <w:tcW w:w="1432" w:type="dxa"/>
            <w:vAlign w:val="center"/>
          </w:tcPr>
          <w:p w14:paraId="256B1EA6" w14:textId="77777777" w:rsidR="000F5E8C" w:rsidRPr="003229B7" w:rsidRDefault="003229B7" w:rsidP="00617E8B">
            <w:pPr>
              <w:ind w:firstLine="0"/>
              <w:jc w:val="center"/>
              <w:rPr>
                <w:sz w:val="24"/>
                <w:szCs w:val="24"/>
                <w:lang w:val="ru-RU"/>
              </w:rPr>
            </w:pPr>
            <w:r>
              <w:rPr>
                <w:sz w:val="24"/>
                <w:szCs w:val="24"/>
                <w:lang w:val="ru-RU"/>
              </w:rPr>
              <w:t>39,2</w:t>
            </w:r>
          </w:p>
        </w:tc>
      </w:tr>
      <w:tr w:rsidR="000F5E8C" w:rsidRPr="003229B7" w14:paraId="2BCF2185" w14:textId="77777777" w:rsidTr="003229B7">
        <w:tc>
          <w:tcPr>
            <w:tcW w:w="2943" w:type="dxa"/>
            <w:vAlign w:val="center"/>
          </w:tcPr>
          <w:p w14:paraId="64AFD625" w14:textId="77777777" w:rsidR="000F5E8C" w:rsidRPr="003229B7" w:rsidRDefault="003229B7" w:rsidP="00617E8B">
            <w:pPr>
              <w:ind w:firstLine="0"/>
              <w:jc w:val="left"/>
              <w:rPr>
                <w:sz w:val="24"/>
                <w:szCs w:val="24"/>
                <w:lang w:val="ru-RU"/>
              </w:rPr>
            </w:pPr>
            <w:r w:rsidRPr="003229B7">
              <w:rPr>
                <w:sz w:val="24"/>
                <w:szCs w:val="24"/>
                <w:lang w:val="ru-RU"/>
              </w:rPr>
              <w:t xml:space="preserve">ТКБ </w:t>
            </w:r>
            <w:proofErr w:type="spellStart"/>
            <w:r w:rsidRPr="003229B7">
              <w:rPr>
                <w:sz w:val="24"/>
                <w:szCs w:val="24"/>
                <w:lang w:val="ru-RU"/>
              </w:rPr>
              <w:t>Инвестмент</w:t>
            </w:r>
            <w:proofErr w:type="spellEnd"/>
            <w:r w:rsidRPr="003229B7">
              <w:rPr>
                <w:sz w:val="24"/>
                <w:szCs w:val="24"/>
                <w:lang w:val="ru-RU"/>
              </w:rPr>
              <w:t xml:space="preserve"> </w:t>
            </w:r>
            <w:proofErr w:type="spellStart"/>
            <w:r w:rsidRPr="003229B7">
              <w:rPr>
                <w:sz w:val="24"/>
                <w:szCs w:val="24"/>
                <w:lang w:val="ru-RU"/>
              </w:rPr>
              <w:t>Партнерс</w:t>
            </w:r>
            <w:proofErr w:type="spellEnd"/>
            <w:r w:rsidRPr="003229B7">
              <w:rPr>
                <w:sz w:val="24"/>
                <w:szCs w:val="24"/>
                <w:lang w:val="ru-RU"/>
              </w:rPr>
              <w:t xml:space="preserve"> - Фонд акций глобальный</w:t>
            </w:r>
          </w:p>
        </w:tc>
        <w:tc>
          <w:tcPr>
            <w:tcW w:w="1473" w:type="dxa"/>
            <w:vAlign w:val="center"/>
          </w:tcPr>
          <w:p w14:paraId="48B73124" w14:textId="77777777" w:rsidR="000F5E8C" w:rsidRPr="003229B7" w:rsidRDefault="003229B7" w:rsidP="00617E8B">
            <w:pPr>
              <w:ind w:firstLine="0"/>
              <w:jc w:val="center"/>
              <w:rPr>
                <w:sz w:val="24"/>
                <w:szCs w:val="24"/>
                <w:lang w:val="ru-RU"/>
              </w:rPr>
            </w:pPr>
            <w:r>
              <w:rPr>
                <w:sz w:val="24"/>
                <w:szCs w:val="24"/>
                <w:lang w:val="ru-RU"/>
              </w:rPr>
              <w:t>75,35</w:t>
            </w:r>
          </w:p>
        </w:tc>
        <w:tc>
          <w:tcPr>
            <w:tcW w:w="3347" w:type="dxa"/>
            <w:vAlign w:val="center"/>
          </w:tcPr>
          <w:p w14:paraId="36E51AE7" w14:textId="77777777" w:rsidR="000F5E8C" w:rsidRPr="003229B7" w:rsidRDefault="003229B7" w:rsidP="00617E8B">
            <w:pPr>
              <w:ind w:firstLine="0"/>
              <w:jc w:val="left"/>
              <w:rPr>
                <w:sz w:val="24"/>
                <w:szCs w:val="24"/>
                <w:lang w:val="ru-RU"/>
              </w:rPr>
            </w:pPr>
            <w:proofErr w:type="spellStart"/>
            <w:r w:rsidRPr="003229B7">
              <w:rPr>
                <w:sz w:val="24"/>
                <w:szCs w:val="24"/>
                <w:lang w:val="ru-RU"/>
              </w:rPr>
              <w:t>Сбер</w:t>
            </w:r>
            <w:proofErr w:type="spellEnd"/>
            <w:r w:rsidRPr="003229B7">
              <w:rPr>
                <w:sz w:val="24"/>
                <w:szCs w:val="24"/>
                <w:lang w:val="ru-RU"/>
              </w:rPr>
              <w:t xml:space="preserve"> УА  - Акции компаний США</w:t>
            </w:r>
          </w:p>
        </w:tc>
        <w:tc>
          <w:tcPr>
            <w:tcW w:w="1432" w:type="dxa"/>
            <w:vAlign w:val="center"/>
          </w:tcPr>
          <w:p w14:paraId="0E45EE2E" w14:textId="77777777" w:rsidR="000F5E8C" w:rsidRPr="003229B7" w:rsidRDefault="003229B7" w:rsidP="00617E8B">
            <w:pPr>
              <w:ind w:firstLine="0"/>
              <w:jc w:val="center"/>
              <w:rPr>
                <w:sz w:val="24"/>
                <w:szCs w:val="24"/>
                <w:lang w:val="ru-RU"/>
              </w:rPr>
            </w:pPr>
            <w:r>
              <w:rPr>
                <w:sz w:val="24"/>
                <w:szCs w:val="24"/>
                <w:lang w:val="ru-RU"/>
              </w:rPr>
              <w:t>38,5</w:t>
            </w:r>
          </w:p>
        </w:tc>
      </w:tr>
    </w:tbl>
    <w:p w14:paraId="4445B7BE" w14:textId="77777777" w:rsidR="00617E8B" w:rsidRDefault="00617E8B" w:rsidP="00617E8B">
      <w:pPr>
        <w:rPr>
          <w:lang w:val="ru-RU"/>
        </w:rPr>
      </w:pPr>
    </w:p>
    <w:p w14:paraId="41A6D85A" w14:textId="77777777" w:rsidR="008E2E3E" w:rsidRDefault="003229B7" w:rsidP="00617E8B">
      <w:pPr>
        <w:rPr>
          <w:lang w:val="ru-RU"/>
        </w:rPr>
      </w:pPr>
      <w:r>
        <w:rPr>
          <w:lang w:val="ru-RU"/>
        </w:rPr>
        <w:t xml:space="preserve">Доходность, опережающая рыночную, достигается путем профессионального управления каждым фондом. Так, каждый управляющий, реагируя на различные </w:t>
      </w:r>
      <w:r w:rsidR="000A6ED2">
        <w:rPr>
          <w:lang w:val="ru-RU"/>
        </w:rPr>
        <w:t xml:space="preserve">изменения в условиях рынка и опираясь на фундаментальный анализ, принимает решения о покупке или продаже различных видов ценных бумаг. Чем тщательнее управляющий учитывает все особенности финансового рынка, тем выше эффективность его </w:t>
      </w:r>
      <w:r w:rsidR="00B0167C">
        <w:rPr>
          <w:lang w:val="ru-RU"/>
        </w:rPr>
        <w:t>управления</w:t>
      </w:r>
      <w:r w:rsidR="000A6ED2">
        <w:rPr>
          <w:lang w:val="ru-RU"/>
        </w:rPr>
        <w:t xml:space="preserve">. </w:t>
      </w:r>
    </w:p>
    <w:p w14:paraId="38C6D6DA" w14:textId="77777777" w:rsidR="00510A14" w:rsidRPr="00EE376D" w:rsidRDefault="00510A14" w:rsidP="00617E8B">
      <w:pPr>
        <w:rPr>
          <w:szCs w:val="28"/>
          <w:lang w:val="ru-RU"/>
        </w:rPr>
      </w:pPr>
      <w:r>
        <w:rPr>
          <w:lang w:val="ru-RU"/>
        </w:rPr>
        <w:t xml:space="preserve">В последнее время весьма активно продвигаются продукты инвестиционного страхования жизни. </w:t>
      </w:r>
      <w:r>
        <w:rPr>
          <w:szCs w:val="28"/>
          <w:lang w:val="ru-RU"/>
        </w:rPr>
        <w:t>Инвестиционное страхование жизни – это вид накопительного страхования с инвестиционной составляющей. Такой п</w:t>
      </w:r>
      <w:r w:rsidRPr="00EE376D">
        <w:rPr>
          <w:szCs w:val="28"/>
          <w:lang w:val="ru-RU"/>
        </w:rPr>
        <w:t xml:space="preserve">олис дает возможность получить инвестиционный доход и одновременно гарантирует выплаты при </w:t>
      </w:r>
      <w:r>
        <w:rPr>
          <w:szCs w:val="28"/>
          <w:lang w:val="ru-RU"/>
        </w:rPr>
        <w:t>наступлении страхового случая (обычно в случае смерти).</w:t>
      </w:r>
    </w:p>
    <w:p w14:paraId="3F2D4116" w14:textId="77777777" w:rsidR="00510A14" w:rsidRDefault="00510A14" w:rsidP="00617E8B">
      <w:pPr>
        <w:rPr>
          <w:szCs w:val="28"/>
          <w:lang w:val="ru-RU"/>
        </w:rPr>
      </w:pPr>
      <w:r>
        <w:rPr>
          <w:szCs w:val="28"/>
          <w:lang w:val="ru-RU"/>
        </w:rPr>
        <w:t>Средства, получаемые от инвестора при страховании жизни, страховая компания вкладывает в различные финансовые активы, т.е.</w:t>
      </w:r>
      <w:r w:rsidRPr="00EE376D">
        <w:rPr>
          <w:szCs w:val="28"/>
          <w:lang w:val="ru-RU"/>
        </w:rPr>
        <w:t xml:space="preserve"> в </w:t>
      </w:r>
      <w:hyperlink r:id="rId8" w:history="1">
        <w:r w:rsidRPr="00EE376D">
          <w:rPr>
            <w:szCs w:val="28"/>
            <w:lang w:val="ru-RU"/>
          </w:rPr>
          <w:t>акции</w:t>
        </w:r>
      </w:hyperlink>
      <w:r w:rsidRPr="00EE376D">
        <w:rPr>
          <w:szCs w:val="28"/>
          <w:lang w:val="ru-RU"/>
        </w:rPr>
        <w:t>, </w:t>
      </w:r>
      <w:hyperlink r:id="rId9" w:history="1">
        <w:r w:rsidRPr="00EE376D">
          <w:rPr>
            <w:szCs w:val="28"/>
            <w:lang w:val="ru-RU"/>
          </w:rPr>
          <w:t>облигации</w:t>
        </w:r>
      </w:hyperlink>
      <w:r w:rsidRPr="00EE376D">
        <w:rPr>
          <w:szCs w:val="28"/>
          <w:lang w:val="ru-RU"/>
        </w:rPr>
        <w:t>, </w:t>
      </w:r>
      <w:hyperlink r:id="rId10" w:history="1">
        <w:r w:rsidRPr="00EE376D">
          <w:rPr>
            <w:szCs w:val="28"/>
            <w:lang w:val="ru-RU"/>
          </w:rPr>
          <w:t>производные финансовые инструменты</w:t>
        </w:r>
      </w:hyperlink>
      <w:r w:rsidRPr="00EE376D">
        <w:rPr>
          <w:szCs w:val="28"/>
          <w:lang w:val="ru-RU"/>
        </w:rPr>
        <w:t>.</w:t>
      </w:r>
      <w:r>
        <w:rPr>
          <w:szCs w:val="28"/>
          <w:lang w:val="ru-RU"/>
        </w:rPr>
        <w:t xml:space="preserve"> Страхователь получает по истечении срока договора внесенные деньги обратно, а также дополнительные инвестиционный доход, е</w:t>
      </w:r>
      <w:r w:rsidRPr="00EE376D">
        <w:rPr>
          <w:szCs w:val="28"/>
          <w:lang w:val="ru-RU"/>
        </w:rPr>
        <w:t xml:space="preserve">сли инвестиции окажутся </w:t>
      </w:r>
      <w:r>
        <w:rPr>
          <w:szCs w:val="28"/>
          <w:lang w:val="ru-RU"/>
        </w:rPr>
        <w:t>до</w:t>
      </w:r>
      <w:r>
        <w:rPr>
          <w:szCs w:val="28"/>
          <w:lang w:val="ru-RU"/>
        </w:rPr>
        <w:lastRenderedPageBreak/>
        <w:t xml:space="preserve">ходными. Такое вложение средств чаще оказывается доходнее, чем процент по банковским вкладам. </w:t>
      </w:r>
    </w:p>
    <w:p w14:paraId="4626C54E" w14:textId="77777777" w:rsidR="00510A14" w:rsidRDefault="00510A14" w:rsidP="00617E8B">
      <w:pPr>
        <w:rPr>
          <w:szCs w:val="28"/>
          <w:lang w:val="ru-RU"/>
        </w:rPr>
      </w:pPr>
      <w:r>
        <w:rPr>
          <w:szCs w:val="28"/>
          <w:lang w:val="ru-RU"/>
        </w:rPr>
        <w:t xml:space="preserve">Но при этом стоит отметить, что доходность по данному инструменты довольно низкая, порой даже не достигающая ставок по депозитам. </w:t>
      </w:r>
      <w:r w:rsidRPr="00510A14">
        <w:rPr>
          <w:szCs w:val="28"/>
          <w:lang w:val="ru-RU"/>
        </w:rPr>
        <w:t>Статистика Центрального банка России показывает, что средняя доходность по трехлетним полисам инвестиционного страхования жизни, завершившимся в течение девяти месяцев 2020 г., составила 4,2% годовых, по пятилетним – 3,1% годовых. При этом 32% полисов ИСЖ показали нулевую доходность, 18% полисов – от 0 до 1%, еще 18% – от 1 до 3%, и только 17% договоров показали доходность выше 5% на этом горизонте [</w:t>
      </w:r>
      <w:r w:rsidR="00B706B1">
        <w:rPr>
          <w:szCs w:val="28"/>
          <w:lang w:val="ru-RU"/>
        </w:rPr>
        <w:t>8</w:t>
      </w:r>
      <w:r w:rsidRPr="00510A14">
        <w:rPr>
          <w:szCs w:val="28"/>
          <w:lang w:val="ru-RU"/>
        </w:rPr>
        <w:t>].</w:t>
      </w:r>
      <w:r>
        <w:rPr>
          <w:szCs w:val="28"/>
          <w:lang w:val="ru-RU"/>
        </w:rPr>
        <w:t xml:space="preserve"> </w:t>
      </w:r>
    </w:p>
    <w:p w14:paraId="586C12C8" w14:textId="77777777" w:rsidR="008567AD" w:rsidRDefault="00510A14" w:rsidP="00617E8B">
      <w:pPr>
        <w:rPr>
          <w:szCs w:val="28"/>
          <w:lang w:val="ru-RU"/>
        </w:rPr>
      </w:pPr>
      <w:r>
        <w:rPr>
          <w:szCs w:val="28"/>
          <w:lang w:val="ru-RU"/>
        </w:rPr>
        <w:t xml:space="preserve">Здесь мы привели данные об инструментах, которые доступны для всех частных инвесторов в современных условиях. Существующие ограничения для работы со сложными финансовыми инструментами (инвестиционные продукты, сформированные на основе производных финансовых инструментов) для неквалифицированных инвесторов несколько ограничивают потенциальное поле выбора. Но при этом остается достаточно широкий перечень доступных инвестиционных инструментов. </w:t>
      </w:r>
    </w:p>
    <w:p w14:paraId="45196D81" w14:textId="77777777" w:rsidR="001366AA" w:rsidRDefault="001366AA" w:rsidP="008567AD">
      <w:pPr>
        <w:jc w:val="left"/>
        <w:rPr>
          <w:szCs w:val="28"/>
          <w:lang w:val="ru-RU"/>
        </w:rPr>
      </w:pPr>
    </w:p>
    <w:p w14:paraId="7B8AC873" w14:textId="77777777" w:rsidR="00463E0F" w:rsidRPr="001366AA" w:rsidRDefault="00463E0F" w:rsidP="008567AD">
      <w:pPr>
        <w:jc w:val="center"/>
        <w:rPr>
          <w:szCs w:val="28"/>
          <w:lang w:val="ru-RU"/>
        </w:rPr>
      </w:pPr>
      <w:r w:rsidRPr="001366AA">
        <w:rPr>
          <w:rFonts w:cs="Times New Roman"/>
          <w:szCs w:val="28"/>
          <w:lang w:val="ru-RU"/>
        </w:rPr>
        <w:t>Обсуждение результатов</w:t>
      </w:r>
    </w:p>
    <w:p w14:paraId="1638D4C6" w14:textId="77777777" w:rsidR="00510A14" w:rsidRDefault="00510A14" w:rsidP="00617E8B">
      <w:pPr>
        <w:rPr>
          <w:rFonts w:cs="Times New Roman"/>
          <w:szCs w:val="28"/>
          <w:lang w:val="ru-RU"/>
        </w:rPr>
      </w:pPr>
      <w:r>
        <w:rPr>
          <w:rFonts w:cs="Times New Roman"/>
          <w:szCs w:val="28"/>
          <w:lang w:val="ru-RU"/>
        </w:rPr>
        <w:t xml:space="preserve">Проанализированный материал позволяет </w:t>
      </w:r>
      <w:r w:rsidR="002F538F">
        <w:rPr>
          <w:rFonts w:cs="Times New Roman"/>
          <w:szCs w:val="28"/>
          <w:lang w:val="ru-RU"/>
        </w:rPr>
        <w:t xml:space="preserve">предложить универсальный подход формирования инвестиционного портфеля для частных инвесторов. </w:t>
      </w:r>
      <w:r w:rsidR="00D41580">
        <w:rPr>
          <w:rFonts w:cs="Times New Roman"/>
          <w:szCs w:val="28"/>
          <w:lang w:val="ru-RU"/>
        </w:rPr>
        <w:t xml:space="preserve">На наш взгляд, весь инвестиционный портфель должен быть условно разделен на три части, каждая из которых формируется под определенные цели с учетом риска и доходности. </w:t>
      </w:r>
    </w:p>
    <w:p w14:paraId="1D47601C" w14:textId="77777777" w:rsidR="00AE2C56" w:rsidRDefault="00AE2C56" w:rsidP="00617E8B">
      <w:pPr>
        <w:rPr>
          <w:rFonts w:cs="Times New Roman"/>
          <w:szCs w:val="28"/>
          <w:lang w:val="ru-RU"/>
        </w:rPr>
      </w:pPr>
      <w:r>
        <w:rPr>
          <w:rFonts w:cs="Times New Roman"/>
          <w:szCs w:val="28"/>
          <w:lang w:val="ru-RU"/>
        </w:rPr>
        <w:t xml:space="preserve">Первая часть должна быть направлена на формирование потенциально высокого дохода. Следовательно, </w:t>
      </w:r>
      <w:r w:rsidR="00771845">
        <w:rPr>
          <w:rFonts w:cs="Times New Roman"/>
          <w:szCs w:val="28"/>
          <w:lang w:val="ru-RU"/>
        </w:rPr>
        <w:t>сюда должны включаться акции различных компаний и индексные инструменты, разработанные на их основе. Данная часть, естественно, будет и самой рисковой, поэтому к ее формированию следует подходит</w:t>
      </w:r>
      <w:r w:rsidR="00AA6A2E">
        <w:rPr>
          <w:rFonts w:cs="Times New Roman"/>
          <w:szCs w:val="28"/>
          <w:lang w:val="ru-RU"/>
        </w:rPr>
        <w:t>ь</w:t>
      </w:r>
      <w:r w:rsidR="00771845">
        <w:rPr>
          <w:rFonts w:cs="Times New Roman"/>
          <w:szCs w:val="28"/>
          <w:lang w:val="ru-RU"/>
        </w:rPr>
        <w:t xml:space="preserve"> с особой тщательностью, соблюдая правила диверсификации</w:t>
      </w:r>
      <w:r w:rsidR="00AA6A2E">
        <w:rPr>
          <w:rFonts w:cs="Times New Roman"/>
          <w:szCs w:val="28"/>
          <w:lang w:val="ru-RU"/>
        </w:rPr>
        <w:t xml:space="preserve"> (покупать акции разных отраслей и разных фондовых характеристик)</w:t>
      </w:r>
      <w:r w:rsidR="00771845">
        <w:rPr>
          <w:rFonts w:cs="Times New Roman"/>
          <w:szCs w:val="28"/>
          <w:lang w:val="ru-RU"/>
        </w:rPr>
        <w:t xml:space="preserve">. При этом, эта часть наиболее часто должна подвергаться пересмотру, несмотря на потенциальные расходы, связанные с налогообложением и выплатой комиссионного вознаграждения брокеру. </w:t>
      </w:r>
    </w:p>
    <w:p w14:paraId="563EE424" w14:textId="77777777" w:rsidR="00771845" w:rsidRDefault="00771845" w:rsidP="00617E8B">
      <w:pPr>
        <w:rPr>
          <w:rFonts w:cs="Times New Roman"/>
          <w:szCs w:val="28"/>
          <w:lang w:val="ru-RU"/>
        </w:rPr>
      </w:pPr>
      <w:r>
        <w:rPr>
          <w:rFonts w:cs="Times New Roman"/>
          <w:szCs w:val="28"/>
          <w:lang w:val="ru-RU"/>
        </w:rPr>
        <w:t>Вторая часть, на наш взгляд, должна отвечать за ликвидность инвестиционного портфеля. Поэтому в нее должны быть включены те инструменты, которые могут быть довольно быстро превращены в денежные средства без существенной потери в стоимости. Сюда целесообразно включать облигации, продукты на их основе, а также банковские депозиты</w:t>
      </w:r>
      <w:r w:rsidR="00AA6A2E">
        <w:rPr>
          <w:rFonts w:cs="Times New Roman"/>
          <w:szCs w:val="28"/>
          <w:lang w:val="ru-RU"/>
        </w:rPr>
        <w:t xml:space="preserve"> в валюте</w:t>
      </w:r>
      <w:r>
        <w:rPr>
          <w:rFonts w:cs="Times New Roman"/>
          <w:szCs w:val="28"/>
          <w:lang w:val="ru-RU"/>
        </w:rPr>
        <w:t>.</w:t>
      </w:r>
      <w:r w:rsidR="00AA6A2E">
        <w:rPr>
          <w:rFonts w:cs="Times New Roman"/>
          <w:szCs w:val="28"/>
          <w:lang w:val="ru-RU"/>
        </w:rPr>
        <w:t xml:space="preserve"> Доходность будет ниже, чем у первой части, но и риск тоже, что позволит обеспечить диверсификацию портфеля. Помимо этого, данная часть может обеспечить текущий пассивный доход в виде выплаты купонов по облигациям и процентов по вкладам. </w:t>
      </w:r>
      <w:proofErr w:type="spellStart"/>
      <w:r w:rsidR="00AA6A2E">
        <w:rPr>
          <w:rFonts w:cs="Times New Roman"/>
          <w:szCs w:val="28"/>
          <w:lang w:val="ru-RU"/>
        </w:rPr>
        <w:t>Ренивестировать</w:t>
      </w:r>
      <w:proofErr w:type="spellEnd"/>
      <w:r w:rsidR="00AA6A2E">
        <w:rPr>
          <w:rFonts w:cs="Times New Roman"/>
          <w:szCs w:val="28"/>
          <w:lang w:val="ru-RU"/>
        </w:rPr>
        <w:t xml:space="preserve"> данные вы</w:t>
      </w:r>
      <w:r w:rsidR="00AA6A2E">
        <w:rPr>
          <w:rFonts w:cs="Times New Roman"/>
          <w:szCs w:val="28"/>
          <w:lang w:val="ru-RU"/>
        </w:rPr>
        <w:lastRenderedPageBreak/>
        <w:t xml:space="preserve">платы или нет решать непосредственно инвестору, но наличие стабильного денежного потока здесь обеспечить можно. </w:t>
      </w:r>
    </w:p>
    <w:p w14:paraId="45C32E57" w14:textId="77777777" w:rsidR="00AA6A2E" w:rsidRDefault="00FF3195" w:rsidP="00617E8B">
      <w:pPr>
        <w:rPr>
          <w:rFonts w:cs="Times New Roman"/>
          <w:szCs w:val="28"/>
          <w:lang w:val="ru-RU"/>
        </w:rPr>
      </w:pPr>
      <w:r>
        <w:rPr>
          <w:rFonts w:cs="Times New Roman"/>
          <w:szCs w:val="28"/>
          <w:lang w:val="ru-RU"/>
        </w:rPr>
        <w:t>На наш взгляд, т</w:t>
      </w:r>
      <w:r w:rsidR="00AA6A2E">
        <w:rPr>
          <w:rFonts w:cs="Times New Roman"/>
          <w:szCs w:val="28"/>
          <w:lang w:val="ru-RU"/>
        </w:rPr>
        <w:t xml:space="preserve">ретья часть должна обеспечивать защиту частного инвестора. И с этой задачей способно справится долгосрочное накопительное страхование жизни с инвестиционной составляющей. Несмотря на низкую доходность, как показывает практика, данный продукт обеспечивает </w:t>
      </w:r>
      <w:r>
        <w:rPr>
          <w:rFonts w:cs="Times New Roman"/>
          <w:szCs w:val="28"/>
          <w:lang w:val="ru-RU"/>
        </w:rPr>
        <w:t xml:space="preserve">высокую доходность, он защищает инвестора от имущественных потерь, которые могут возникнуть в результате реализации негативных событий, связанных с жизнью и здоровьем. </w:t>
      </w:r>
    </w:p>
    <w:p w14:paraId="6BD5A3B5" w14:textId="77777777" w:rsidR="002F538F" w:rsidRDefault="00FF3195" w:rsidP="00617E8B">
      <w:pPr>
        <w:rPr>
          <w:rFonts w:cs="Times New Roman"/>
          <w:szCs w:val="28"/>
          <w:lang w:val="ru-RU"/>
        </w:rPr>
      </w:pPr>
      <w:r>
        <w:rPr>
          <w:rFonts w:cs="Times New Roman"/>
          <w:szCs w:val="28"/>
          <w:lang w:val="ru-RU"/>
        </w:rPr>
        <w:t xml:space="preserve">Каково должно быть соотношение этих частей в инвестиционном портфеле </w:t>
      </w:r>
      <w:r w:rsidR="00A7634B">
        <w:rPr>
          <w:rFonts w:cs="Times New Roman"/>
          <w:szCs w:val="28"/>
          <w:lang w:val="ru-RU"/>
        </w:rPr>
        <w:t xml:space="preserve">каждый инвестор решает сам, ориентируясь на собственные возможности и предпочтения. Но наличие данных частей и инструментов, которые могут составлять эти части, позволит инвестору более эффективно осуществлять собственную инвестиционную деятельность с учетом доходности, риска и возможности собственной защиты. </w:t>
      </w:r>
    </w:p>
    <w:p w14:paraId="7DF64A5D" w14:textId="77777777" w:rsidR="00415286" w:rsidRDefault="00415286" w:rsidP="008567AD">
      <w:pPr>
        <w:jc w:val="left"/>
        <w:rPr>
          <w:rFonts w:cs="Times New Roman"/>
          <w:szCs w:val="28"/>
          <w:lang w:val="ru-RU"/>
        </w:rPr>
      </w:pPr>
    </w:p>
    <w:p w14:paraId="6C8FDC7A" w14:textId="77777777" w:rsidR="00463E0F" w:rsidRPr="001366AA" w:rsidRDefault="00463E0F" w:rsidP="008567AD">
      <w:pPr>
        <w:jc w:val="center"/>
        <w:rPr>
          <w:rFonts w:cs="Times New Roman"/>
          <w:szCs w:val="28"/>
          <w:lang w:val="ru-RU"/>
        </w:rPr>
      </w:pPr>
      <w:r w:rsidRPr="001366AA">
        <w:rPr>
          <w:rFonts w:cs="Times New Roman"/>
          <w:szCs w:val="28"/>
          <w:lang w:val="ru-RU"/>
        </w:rPr>
        <w:t>Заключение</w:t>
      </w:r>
    </w:p>
    <w:p w14:paraId="660A168D" w14:textId="77777777" w:rsidR="00D41580" w:rsidRDefault="00D41580" w:rsidP="00617E8B">
      <w:pPr>
        <w:rPr>
          <w:szCs w:val="28"/>
          <w:lang w:val="ru-RU"/>
        </w:rPr>
      </w:pPr>
      <w:r>
        <w:rPr>
          <w:szCs w:val="28"/>
          <w:lang w:val="ru-RU"/>
        </w:rPr>
        <w:t>Подводя итог, следует отметить, что для физических лиц в настоящее время существует множество способов инвестирования и все условия для их осуществления.</w:t>
      </w:r>
    </w:p>
    <w:p w14:paraId="2C0FFE29" w14:textId="77777777" w:rsidR="00D41580" w:rsidRDefault="00FF3195" w:rsidP="00617E8B">
      <w:pPr>
        <w:rPr>
          <w:szCs w:val="28"/>
          <w:lang w:val="ru-RU"/>
        </w:rPr>
      </w:pPr>
      <w:r>
        <w:rPr>
          <w:szCs w:val="28"/>
          <w:lang w:val="ru-RU"/>
        </w:rPr>
        <w:t>Объекты для</w:t>
      </w:r>
      <w:r w:rsidR="00D41580">
        <w:rPr>
          <w:szCs w:val="28"/>
          <w:lang w:val="ru-RU"/>
        </w:rPr>
        <w:t xml:space="preserve"> инвестирования каждый инвестор выбирает, исходя из стратегии и целей, которые он преследует</w:t>
      </w:r>
      <w:r w:rsidR="00B26BBB">
        <w:rPr>
          <w:szCs w:val="28"/>
          <w:lang w:val="ru-RU"/>
        </w:rPr>
        <w:t xml:space="preserve"> </w:t>
      </w:r>
      <w:r w:rsidR="00B26BBB" w:rsidRPr="00B26BBB">
        <w:rPr>
          <w:szCs w:val="28"/>
          <w:lang w:val="ru-RU"/>
        </w:rPr>
        <w:t>[</w:t>
      </w:r>
      <w:r w:rsidR="00B706B1">
        <w:rPr>
          <w:szCs w:val="28"/>
          <w:lang w:val="ru-RU"/>
        </w:rPr>
        <w:t>3</w:t>
      </w:r>
      <w:r w:rsidR="00B26BBB" w:rsidRPr="00B26BBB">
        <w:rPr>
          <w:szCs w:val="28"/>
          <w:lang w:val="ru-RU"/>
        </w:rPr>
        <w:t>]</w:t>
      </w:r>
      <w:r w:rsidR="00D41580">
        <w:rPr>
          <w:szCs w:val="28"/>
          <w:lang w:val="ru-RU"/>
        </w:rPr>
        <w:t>.</w:t>
      </w:r>
      <w:r>
        <w:rPr>
          <w:szCs w:val="28"/>
          <w:lang w:val="ru-RU"/>
        </w:rPr>
        <w:t xml:space="preserve"> </w:t>
      </w:r>
      <w:r w:rsidR="00D41580" w:rsidRPr="00AA57BD">
        <w:rPr>
          <w:szCs w:val="28"/>
          <w:lang w:val="ru-RU"/>
        </w:rPr>
        <w:t xml:space="preserve">Стратегия инвестирования индивидуальна для каждого </w:t>
      </w:r>
      <w:r w:rsidR="00D41580">
        <w:rPr>
          <w:szCs w:val="28"/>
          <w:lang w:val="ru-RU"/>
        </w:rPr>
        <w:t>инвестора и зависит от  его индивидуальных личностных и деловых качеств</w:t>
      </w:r>
      <w:r w:rsidR="00D41580" w:rsidRPr="00AA57BD">
        <w:rPr>
          <w:szCs w:val="28"/>
          <w:lang w:val="ru-RU"/>
        </w:rPr>
        <w:t xml:space="preserve"> – склонностью к рис</w:t>
      </w:r>
      <w:r w:rsidR="00D41580">
        <w:rPr>
          <w:szCs w:val="28"/>
          <w:lang w:val="ru-RU"/>
        </w:rPr>
        <w:t>ку, наличием специальных знаний и т.д</w:t>
      </w:r>
      <w:r w:rsidR="00D41580" w:rsidRPr="00AA57BD">
        <w:rPr>
          <w:szCs w:val="28"/>
          <w:lang w:val="ru-RU"/>
        </w:rPr>
        <w:t xml:space="preserve">. </w:t>
      </w:r>
    </w:p>
    <w:p w14:paraId="7C9623B0" w14:textId="77777777" w:rsidR="002F538F" w:rsidRDefault="00D41580" w:rsidP="00617E8B">
      <w:pPr>
        <w:rPr>
          <w:rFonts w:cs="Times New Roman"/>
          <w:szCs w:val="28"/>
          <w:lang w:val="ru-RU"/>
        </w:rPr>
      </w:pPr>
      <w:r w:rsidRPr="00AA57BD">
        <w:rPr>
          <w:szCs w:val="28"/>
          <w:lang w:val="ru-RU"/>
        </w:rPr>
        <w:t xml:space="preserve">В большинстве случаев физические лица </w:t>
      </w:r>
      <w:r>
        <w:rPr>
          <w:szCs w:val="28"/>
          <w:lang w:val="ru-RU"/>
        </w:rPr>
        <w:t>диверсифицируют риски и используют ра</w:t>
      </w:r>
      <w:r w:rsidR="00FF3195">
        <w:rPr>
          <w:szCs w:val="28"/>
          <w:lang w:val="ru-RU"/>
        </w:rPr>
        <w:t xml:space="preserve">зличные способы инвестирования, тем самым снижая потенциальные риски вложения финансовых ресурсов. </w:t>
      </w:r>
      <w:r>
        <w:rPr>
          <w:rFonts w:cs="Times New Roman"/>
          <w:szCs w:val="28"/>
          <w:lang w:val="ru-RU"/>
        </w:rPr>
        <w:t xml:space="preserve">Предложенный </w:t>
      </w:r>
      <w:r w:rsidR="00FF3195">
        <w:rPr>
          <w:rFonts w:cs="Times New Roman"/>
          <w:szCs w:val="28"/>
          <w:lang w:val="ru-RU"/>
        </w:rPr>
        <w:t xml:space="preserve">нами подход позволит </w:t>
      </w:r>
      <w:r w:rsidR="00A7634B">
        <w:rPr>
          <w:rFonts w:cs="Times New Roman"/>
          <w:szCs w:val="28"/>
          <w:lang w:val="ru-RU"/>
        </w:rPr>
        <w:t xml:space="preserve">инвестору достичь некоего баланса между желаемой доходностью и потенциальным риском. </w:t>
      </w:r>
    </w:p>
    <w:p w14:paraId="26E40B01" w14:textId="77777777" w:rsidR="001366AA" w:rsidRDefault="001366AA" w:rsidP="008567AD">
      <w:pPr>
        <w:jc w:val="left"/>
        <w:rPr>
          <w:rFonts w:cs="Times New Roman"/>
          <w:szCs w:val="28"/>
          <w:lang w:val="ru-RU"/>
        </w:rPr>
      </w:pPr>
    </w:p>
    <w:p w14:paraId="1586E6C7" w14:textId="77777777" w:rsidR="001366AA" w:rsidRDefault="001366AA" w:rsidP="001366AA">
      <w:pPr>
        <w:jc w:val="center"/>
        <w:rPr>
          <w:szCs w:val="28"/>
          <w:lang w:val="ru-RU"/>
        </w:rPr>
      </w:pPr>
      <w:proofErr w:type="spellStart"/>
      <w:r w:rsidRPr="001366AA">
        <w:rPr>
          <w:szCs w:val="28"/>
        </w:rPr>
        <w:t>Библиографический</w:t>
      </w:r>
      <w:proofErr w:type="spellEnd"/>
      <w:r w:rsidRPr="001366AA">
        <w:rPr>
          <w:szCs w:val="28"/>
        </w:rPr>
        <w:t xml:space="preserve"> </w:t>
      </w:r>
      <w:proofErr w:type="spellStart"/>
      <w:r w:rsidRPr="001366AA">
        <w:rPr>
          <w:szCs w:val="28"/>
        </w:rPr>
        <w:t>список</w:t>
      </w:r>
      <w:proofErr w:type="spellEnd"/>
    </w:p>
    <w:p w14:paraId="735029B8" w14:textId="77777777" w:rsidR="001366AA" w:rsidRPr="00617E8B" w:rsidRDefault="001366AA" w:rsidP="00617E8B">
      <w:pPr>
        <w:rPr>
          <w:szCs w:val="28"/>
          <w:lang w:val="ru-RU"/>
        </w:rPr>
      </w:pPr>
    </w:p>
    <w:p w14:paraId="655D7858" w14:textId="77777777" w:rsidR="00B56847" w:rsidRPr="00617E8B" w:rsidRDefault="00B56847" w:rsidP="00617E8B">
      <w:pPr>
        <w:pStyle w:val="a9"/>
        <w:numPr>
          <w:ilvl w:val="0"/>
          <w:numId w:val="1"/>
        </w:numPr>
        <w:tabs>
          <w:tab w:val="left" w:pos="851"/>
        </w:tabs>
        <w:ind w:left="0" w:firstLine="567"/>
        <w:rPr>
          <w:rFonts w:cs="Times New Roman"/>
          <w:szCs w:val="28"/>
          <w:lang w:val="ru-RU"/>
        </w:rPr>
      </w:pPr>
      <w:r w:rsidRPr="00617E8B">
        <w:rPr>
          <w:rFonts w:cs="Times New Roman"/>
          <w:szCs w:val="28"/>
          <w:lang w:val="ru-RU"/>
        </w:rPr>
        <w:t xml:space="preserve">Анохина Н.В. Современные тренды финансового рынка / Н.В. Анохина, Т.А. Попова, Н.Г. Протас // Вестник НГУЭУ. – 2019. </w:t>
      </w:r>
      <w:r w:rsidR="00730424" w:rsidRPr="00617E8B">
        <w:rPr>
          <w:rFonts w:cs="Times New Roman"/>
          <w:szCs w:val="28"/>
          <w:lang w:val="ru-RU"/>
        </w:rPr>
        <w:t xml:space="preserve"> – </w:t>
      </w:r>
      <w:r w:rsidRPr="00617E8B">
        <w:rPr>
          <w:rFonts w:cs="Times New Roman"/>
          <w:szCs w:val="28"/>
          <w:lang w:val="ru-RU"/>
        </w:rPr>
        <w:t>№ 1. – С. 152-160.</w:t>
      </w:r>
    </w:p>
    <w:p w14:paraId="4DDEB597" w14:textId="77777777" w:rsidR="00953B9B" w:rsidRPr="00617E8B" w:rsidRDefault="00953B9B" w:rsidP="00617E8B">
      <w:pPr>
        <w:pStyle w:val="a9"/>
        <w:numPr>
          <w:ilvl w:val="0"/>
          <w:numId w:val="1"/>
        </w:numPr>
        <w:tabs>
          <w:tab w:val="left" w:pos="851"/>
        </w:tabs>
        <w:ind w:left="0" w:firstLine="567"/>
        <w:rPr>
          <w:rFonts w:cs="Times New Roman"/>
          <w:szCs w:val="28"/>
          <w:lang w:val="ru-RU"/>
        </w:rPr>
      </w:pPr>
      <w:r w:rsidRPr="00617E8B">
        <w:rPr>
          <w:rFonts w:cs="Times New Roman"/>
          <w:szCs w:val="28"/>
          <w:lang w:val="ru-RU"/>
        </w:rPr>
        <w:t xml:space="preserve">Васюков Е.А. Анализ инвестиционных стратегий на российском фондовом рынке / Е.А. Васюков, П.К. </w:t>
      </w:r>
      <w:proofErr w:type="spellStart"/>
      <w:r w:rsidRPr="00617E8B">
        <w:rPr>
          <w:rFonts w:cs="Times New Roman"/>
          <w:szCs w:val="28"/>
          <w:lang w:val="ru-RU"/>
        </w:rPr>
        <w:t>Жемральский</w:t>
      </w:r>
      <w:proofErr w:type="spellEnd"/>
      <w:r w:rsidRPr="00617E8B">
        <w:rPr>
          <w:rFonts w:cs="Times New Roman"/>
          <w:szCs w:val="28"/>
          <w:lang w:val="ru-RU"/>
        </w:rPr>
        <w:t xml:space="preserve">, А.М. Михайлов // </w:t>
      </w:r>
      <w:r w:rsidRPr="00617E8B">
        <w:rPr>
          <w:rFonts w:cs="Times New Roman"/>
          <w:szCs w:val="28"/>
        </w:rPr>
        <w:t>KANT</w:t>
      </w:r>
      <w:r w:rsidRPr="00617E8B">
        <w:rPr>
          <w:rFonts w:cs="Times New Roman"/>
          <w:szCs w:val="28"/>
          <w:lang w:val="ru-RU"/>
        </w:rPr>
        <w:t xml:space="preserve">. </w:t>
      </w:r>
      <w:r w:rsidR="00B56847" w:rsidRPr="00617E8B">
        <w:rPr>
          <w:rFonts w:cs="Times New Roman"/>
          <w:szCs w:val="28"/>
          <w:lang w:val="ru-RU"/>
        </w:rPr>
        <w:t xml:space="preserve">– 2018. </w:t>
      </w:r>
      <w:r w:rsidRPr="00617E8B">
        <w:rPr>
          <w:rFonts w:cs="Times New Roman"/>
          <w:szCs w:val="28"/>
          <w:lang w:val="ru-RU"/>
        </w:rPr>
        <w:t>– № 2(27) .– С. 246-248.</w:t>
      </w:r>
    </w:p>
    <w:p w14:paraId="73E931BA" w14:textId="77777777" w:rsidR="00C65397" w:rsidRPr="00617E8B" w:rsidRDefault="00C65397" w:rsidP="00617E8B">
      <w:pPr>
        <w:pStyle w:val="a9"/>
        <w:numPr>
          <w:ilvl w:val="0"/>
          <w:numId w:val="1"/>
        </w:numPr>
        <w:tabs>
          <w:tab w:val="left" w:pos="851"/>
        </w:tabs>
        <w:ind w:left="0" w:firstLine="567"/>
        <w:rPr>
          <w:szCs w:val="28"/>
          <w:lang w:val="ru-RU"/>
        </w:rPr>
      </w:pPr>
      <w:proofErr w:type="spellStart"/>
      <w:r w:rsidRPr="00617E8B">
        <w:rPr>
          <w:szCs w:val="28"/>
          <w:lang w:val="ru-RU"/>
        </w:rPr>
        <w:t>Занин</w:t>
      </w:r>
      <w:proofErr w:type="spellEnd"/>
      <w:r w:rsidRPr="00617E8B">
        <w:rPr>
          <w:szCs w:val="28"/>
          <w:lang w:val="ru-RU"/>
        </w:rPr>
        <w:t xml:space="preserve"> М.А. Стратегия физических лиц в сфере портфельного инвестирования / М.А. </w:t>
      </w:r>
      <w:proofErr w:type="spellStart"/>
      <w:r w:rsidRPr="00617E8B">
        <w:rPr>
          <w:szCs w:val="28"/>
          <w:lang w:val="ru-RU"/>
        </w:rPr>
        <w:t>Занин</w:t>
      </w:r>
      <w:proofErr w:type="spellEnd"/>
      <w:r w:rsidRPr="00617E8B">
        <w:rPr>
          <w:szCs w:val="28"/>
          <w:lang w:val="ru-RU"/>
        </w:rPr>
        <w:t xml:space="preserve">, А.М. </w:t>
      </w:r>
      <w:proofErr w:type="spellStart"/>
      <w:r w:rsidRPr="00617E8B">
        <w:rPr>
          <w:szCs w:val="28"/>
          <w:lang w:val="ru-RU"/>
        </w:rPr>
        <w:t>Тлеппаев</w:t>
      </w:r>
      <w:proofErr w:type="spellEnd"/>
      <w:r w:rsidRPr="00617E8B">
        <w:rPr>
          <w:szCs w:val="28"/>
          <w:lang w:val="ru-RU"/>
        </w:rPr>
        <w:t xml:space="preserve"> // Наука без границ. – 2018. – №4 (21). – С. 46-50.</w:t>
      </w:r>
    </w:p>
    <w:p w14:paraId="54259E89" w14:textId="77777777" w:rsidR="00247885" w:rsidRPr="00617E8B" w:rsidRDefault="00247885" w:rsidP="00617E8B">
      <w:pPr>
        <w:pStyle w:val="a6"/>
        <w:numPr>
          <w:ilvl w:val="0"/>
          <w:numId w:val="1"/>
        </w:numPr>
        <w:tabs>
          <w:tab w:val="left" w:pos="851"/>
        </w:tabs>
        <w:spacing w:before="0" w:beforeAutospacing="0" w:after="0" w:afterAutospacing="0"/>
        <w:ind w:left="0" w:firstLine="567"/>
        <w:jc w:val="both"/>
        <w:textAlignment w:val="top"/>
        <w:rPr>
          <w:sz w:val="28"/>
          <w:szCs w:val="28"/>
        </w:rPr>
      </w:pPr>
      <w:r w:rsidRPr="00617E8B">
        <w:rPr>
          <w:sz w:val="28"/>
          <w:szCs w:val="28"/>
        </w:rPr>
        <w:lastRenderedPageBreak/>
        <w:t>Мартынов А. Финансовые итоги 2020 года [Электронный ресурс</w:t>
      </w:r>
      <w:proofErr w:type="gramStart"/>
      <w:r w:rsidRPr="00617E8B">
        <w:rPr>
          <w:sz w:val="28"/>
          <w:szCs w:val="28"/>
        </w:rPr>
        <w:t>] :</w:t>
      </w:r>
      <w:proofErr w:type="gramEnd"/>
      <w:r w:rsidRPr="00617E8B">
        <w:rPr>
          <w:sz w:val="28"/>
          <w:szCs w:val="28"/>
        </w:rPr>
        <w:t xml:space="preserve"> Блог об инвестициях и личных финансах.  – М., 2014, – Режим доступа: https://activeinvestor.pro/finansovye-itogi-2020-goda/ (дата обращения: 25.03.2021)</w:t>
      </w:r>
    </w:p>
    <w:p w14:paraId="423FD240" w14:textId="77777777" w:rsidR="00730424" w:rsidRPr="00617E8B" w:rsidRDefault="00730424" w:rsidP="00617E8B">
      <w:pPr>
        <w:pStyle w:val="a9"/>
        <w:numPr>
          <w:ilvl w:val="0"/>
          <w:numId w:val="1"/>
        </w:numPr>
        <w:tabs>
          <w:tab w:val="left" w:pos="993"/>
        </w:tabs>
        <w:ind w:left="0" w:firstLine="567"/>
        <w:rPr>
          <w:lang w:val="ru-RU"/>
        </w:rPr>
      </w:pPr>
      <w:r w:rsidRPr="00617E8B">
        <w:rPr>
          <w:lang w:val="ru-RU"/>
        </w:rPr>
        <w:t xml:space="preserve">Сопоева И.А. Биржевые инвестиционные (индексные) фонды – инновационное направление коллективного инвестирования: классификация и виды / И.А. Сопоева, С.С. </w:t>
      </w:r>
      <w:proofErr w:type="spellStart"/>
      <w:r w:rsidRPr="00617E8B">
        <w:rPr>
          <w:lang w:val="ru-RU"/>
        </w:rPr>
        <w:t>Камбердиева</w:t>
      </w:r>
      <w:proofErr w:type="spellEnd"/>
      <w:r w:rsidRPr="00617E8B">
        <w:rPr>
          <w:lang w:val="ru-RU"/>
        </w:rPr>
        <w:t xml:space="preserve">, В.Х. </w:t>
      </w:r>
      <w:proofErr w:type="spellStart"/>
      <w:r w:rsidRPr="00617E8B">
        <w:rPr>
          <w:lang w:val="ru-RU"/>
        </w:rPr>
        <w:t>Дедегкаев</w:t>
      </w:r>
      <w:proofErr w:type="spellEnd"/>
      <w:r w:rsidRPr="00617E8B">
        <w:rPr>
          <w:lang w:val="ru-RU"/>
        </w:rPr>
        <w:t xml:space="preserve"> // Инновации и инвестиции. – </w:t>
      </w:r>
      <w:r w:rsidRPr="00617E8B">
        <w:rPr>
          <w:rFonts w:cs="Times New Roman"/>
          <w:szCs w:val="28"/>
          <w:lang w:val="ru-RU"/>
        </w:rPr>
        <w:t>2018. – №1. – С. 33-37.</w:t>
      </w:r>
    </w:p>
    <w:p w14:paraId="2571AAFB" w14:textId="77777777" w:rsidR="00C65397" w:rsidRPr="00617E8B" w:rsidRDefault="00C65397" w:rsidP="00617E8B">
      <w:pPr>
        <w:pStyle w:val="a9"/>
        <w:numPr>
          <w:ilvl w:val="0"/>
          <w:numId w:val="1"/>
        </w:numPr>
        <w:tabs>
          <w:tab w:val="left" w:pos="851"/>
        </w:tabs>
        <w:ind w:left="0" w:firstLine="567"/>
        <w:rPr>
          <w:szCs w:val="28"/>
          <w:lang w:val="ru-RU"/>
        </w:rPr>
      </w:pPr>
      <w:r w:rsidRPr="00617E8B">
        <w:rPr>
          <w:szCs w:val="28"/>
          <w:lang w:val="ru-RU"/>
        </w:rPr>
        <w:t>Шестеров Е.А. Частные инвестиции в современной России / Е.А. Шестеров // Международный журнал гуманитарных и естественных наук. – 2020. – №10-2 (49). – С. 201-204.</w:t>
      </w:r>
    </w:p>
    <w:p w14:paraId="14B92ED6" w14:textId="77777777" w:rsidR="00730424" w:rsidRPr="00617E8B" w:rsidRDefault="00730424" w:rsidP="00617E8B">
      <w:pPr>
        <w:pStyle w:val="a9"/>
        <w:numPr>
          <w:ilvl w:val="0"/>
          <w:numId w:val="1"/>
        </w:numPr>
        <w:tabs>
          <w:tab w:val="left" w:pos="993"/>
        </w:tabs>
        <w:ind w:left="0" w:firstLine="567"/>
        <w:rPr>
          <w:lang w:val="ru-RU"/>
        </w:rPr>
      </w:pPr>
      <w:proofErr w:type="spellStart"/>
      <w:r w:rsidRPr="00617E8B">
        <w:rPr>
          <w:lang w:val="ru-RU"/>
        </w:rPr>
        <w:t>Хмыз</w:t>
      </w:r>
      <w:proofErr w:type="spellEnd"/>
      <w:r w:rsidRPr="00617E8B">
        <w:rPr>
          <w:lang w:val="ru-RU"/>
        </w:rPr>
        <w:t xml:space="preserve"> О.В. Стратегии индексного инвестирования / О.В. </w:t>
      </w:r>
      <w:proofErr w:type="spellStart"/>
      <w:r w:rsidRPr="00617E8B">
        <w:rPr>
          <w:lang w:val="ru-RU"/>
        </w:rPr>
        <w:t>Хмыз</w:t>
      </w:r>
      <w:proofErr w:type="spellEnd"/>
      <w:r w:rsidRPr="00617E8B">
        <w:rPr>
          <w:lang w:val="ru-RU"/>
        </w:rPr>
        <w:t xml:space="preserve"> // Финансовый менеджмент. – 2019. – №4. – С. 44-47.</w:t>
      </w:r>
    </w:p>
    <w:p w14:paraId="1F467E71" w14:textId="77777777" w:rsidR="00774086" w:rsidRPr="00617E8B" w:rsidRDefault="00774086" w:rsidP="00617E8B">
      <w:pPr>
        <w:pStyle w:val="a9"/>
        <w:numPr>
          <w:ilvl w:val="0"/>
          <w:numId w:val="1"/>
        </w:numPr>
        <w:tabs>
          <w:tab w:val="left" w:pos="993"/>
        </w:tabs>
        <w:ind w:left="0" w:firstLine="567"/>
        <w:rPr>
          <w:rFonts w:cs="Times New Roman"/>
          <w:szCs w:val="28"/>
          <w:lang w:val="ru-RU"/>
        </w:rPr>
      </w:pPr>
      <w:r w:rsidRPr="00617E8B">
        <w:rPr>
          <w:rFonts w:cs="Times New Roman"/>
          <w:szCs w:val="28"/>
          <w:lang w:val="ru-RU"/>
        </w:rPr>
        <w:t xml:space="preserve">Центральный банк Российской Федерации </w:t>
      </w:r>
      <w:r w:rsidRPr="00617E8B">
        <w:rPr>
          <w:rFonts w:cs="Times New Roman"/>
          <w:bCs/>
          <w:szCs w:val="28"/>
          <w:shd w:val="clear" w:color="auto" w:fill="FFFFFF"/>
          <w:lang w:val="ru-RU"/>
        </w:rPr>
        <w:t>[Электронный ресурс</w:t>
      </w:r>
      <w:proofErr w:type="gramStart"/>
      <w:r w:rsidRPr="00617E8B">
        <w:rPr>
          <w:rFonts w:cs="Times New Roman"/>
          <w:bCs/>
          <w:szCs w:val="28"/>
          <w:shd w:val="clear" w:color="auto" w:fill="FFFFFF"/>
          <w:lang w:val="ru-RU"/>
        </w:rPr>
        <w:t xml:space="preserve">] </w:t>
      </w:r>
      <w:r w:rsidRPr="00617E8B">
        <w:rPr>
          <w:rFonts w:cs="Times New Roman"/>
          <w:szCs w:val="28"/>
          <w:lang w:val="ru-RU"/>
        </w:rPr>
        <w:t>:</w:t>
      </w:r>
      <w:proofErr w:type="gramEnd"/>
      <w:r w:rsidRPr="00617E8B">
        <w:rPr>
          <w:rFonts w:cs="Times New Roman"/>
          <w:bCs/>
          <w:szCs w:val="28"/>
          <w:shd w:val="clear" w:color="auto" w:fill="FFFFFF"/>
          <w:lang w:val="ru-RU"/>
        </w:rPr>
        <w:t xml:space="preserve"> офиц. сайт / Центральный банк. – М., 2000. – Режим доступа: </w:t>
      </w:r>
      <w:r w:rsidR="001C11BF">
        <w:fldChar w:fldCharType="begin"/>
      </w:r>
      <w:r w:rsidR="001C11BF" w:rsidRPr="001C11BF">
        <w:rPr>
          <w:lang w:val="ru-RU"/>
        </w:rPr>
        <w:instrText xml:space="preserve"> </w:instrText>
      </w:r>
      <w:r w:rsidR="001C11BF">
        <w:instrText>H</w:instrText>
      </w:r>
      <w:r w:rsidR="001C11BF">
        <w:instrText>YPERLINK</w:instrText>
      </w:r>
      <w:r w:rsidR="001C11BF" w:rsidRPr="001C11BF">
        <w:rPr>
          <w:lang w:val="ru-RU"/>
        </w:rPr>
        <w:instrText xml:space="preserve"> "</w:instrText>
      </w:r>
      <w:r w:rsidR="001C11BF">
        <w:instrText>https</w:instrText>
      </w:r>
      <w:r w:rsidR="001C11BF" w:rsidRPr="001C11BF">
        <w:rPr>
          <w:lang w:val="ru-RU"/>
        </w:rPr>
        <w:instrText>://</w:instrText>
      </w:r>
      <w:r w:rsidR="001C11BF">
        <w:instrText>www</w:instrText>
      </w:r>
      <w:r w:rsidR="001C11BF" w:rsidRPr="001C11BF">
        <w:rPr>
          <w:lang w:val="ru-RU"/>
        </w:rPr>
        <w:instrText>.</w:instrText>
      </w:r>
      <w:r w:rsidR="001C11BF">
        <w:instrText>cbr</w:instrText>
      </w:r>
      <w:r w:rsidR="001C11BF" w:rsidRPr="001C11BF">
        <w:rPr>
          <w:lang w:val="ru-RU"/>
        </w:rPr>
        <w:instrText>.</w:instrText>
      </w:r>
      <w:r w:rsidR="001C11BF">
        <w:instrText>ru</w:instrText>
      </w:r>
      <w:r w:rsidR="001C11BF" w:rsidRPr="001C11BF">
        <w:rPr>
          <w:lang w:val="ru-RU"/>
        </w:rPr>
        <w:instrText xml:space="preserve">" </w:instrText>
      </w:r>
      <w:r w:rsidR="001C11BF">
        <w:fldChar w:fldCharType="separate"/>
      </w:r>
      <w:r w:rsidRPr="00617E8B">
        <w:rPr>
          <w:rStyle w:val="a5"/>
          <w:rFonts w:eastAsia="Times New Roman" w:cs="Times New Roman"/>
          <w:color w:val="auto"/>
          <w:szCs w:val="28"/>
          <w:lang w:eastAsia="ru-RU"/>
        </w:rPr>
        <w:t>https</w:t>
      </w:r>
      <w:r w:rsidRPr="00617E8B">
        <w:rPr>
          <w:rStyle w:val="a5"/>
          <w:rFonts w:eastAsia="Times New Roman" w:cs="Times New Roman"/>
          <w:color w:val="auto"/>
          <w:szCs w:val="28"/>
          <w:lang w:val="ru-RU" w:eastAsia="ru-RU"/>
        </w:rPr>
        <w:t>://</w:t>
      </w:r>
      <w:r w:rsidRPr="00617E8B">
        <w:rPr>
          <w:rStyle w:val="a5"/>
          <w:rFonts w:eastAsia="Times New Roman" w:cs="Times New Roman"/>
          <w:color w:val="auto"/>
          <w:szCs w:val="28"/>
          <w:lang w:eastAsia="ru-RU"/>
        </w:rPr>
        <w:t>www</w:t>
      </w:r>
      <w:r w:rsidRPr="00617E8B">
        <w:rPr>
          <w:rStyle w:val="a5"/>
          <w:rFonts w:eastAsia="Times New Roman" w:cs="Times New Roman"/>
          <w:color w:val="auto"/>
          <w:szCs w:val="28"/>
          <w:lang w:val="ru-RU" w:eastAsia="ru-RU"/>
        </w:rPr>
        <w:t>.</w:t>
      </w:r>
      <w:proofErr w:type="spellStart"/>
      <w:r w:rsidRPr="00617E8B">
        <w:rPr>
          <w:rStyle w:val="a5"/>
          <w:rFonts w:eastAsia="Times New Roman" w:cs="Times New Roman"/>
          <w:color w:val="auto"/>
          <w:szCs w:val="28"/>
          <w:lang w:eastAsia="ru-RU"/>
        </w:rPr>
        <w:t>cbr</w:t>
      </w:r>
      <w:proofErr w:type="spellEnd"/>
      <w:r w:rsidRPr="00617E8B">
        <w:rPr>
          <w:rStyle w:val="a5"/>
          <w:rFonts w:eastAsia="Times New Roman" w:cs="Times New Roman"/>
          <w:color w:val="auto"/>
          <w:szCs w:val="28"/>
          <w:lang w:val="ru-RU" w:eastAsia="ru-RU"/>
        </w:rPr>
        <w:t>.</w:t>
      </w:r>
      <w:proofErr w:type="spellStart"/>
      <w:r w:rsidRPr="00617E8B">
        <w:rPr>
          <w:rStyle w:val="a5"/>
          <w:rFonts w:eastAsia="Times New Roman" w:cs="Times New Roman"/>
          <w:color w:val="auto"/>
          <w:szCs w:val="28"/>
          <w:lang w:eastAsia="ru-RU"/>
        </w:rPr>
        <w:t>ru</w:t>
      </w:r>
      <w:proofErr w:type="spellEnd"/>
      <w:r w:rsidR="001C11BF">
        <w:rPr>
          <w:rStyle w:val="a5"/>
          <w:rFonts w:eastAsia="Times New Roman" w:cs="Times New Roman"/>
          <w:color w:val="auto"/>
          <w:szCs w:val="28"/>
          <w:lang w:eastAsia="ru-RU"/>
        </w:rPr>
        <w:fldChar w:fldCharType="end"/>
      </w:r>
      <w:r w:rsidRPr="00617E8B">
        <w:rPr>
          <w:rFonts w:eastAsia="Times New Roman" w:cs="Times New Roman"/>
          <w:szCs w:val="28"/>
          <w:lang w:val="ru-RU" w:eastAsia="ru-RU"/>
        </w:rPr>
        <w:t xml:space="preserve"> </w:t>
      </w:r>
      <w:r w:rsidRPr="00617E8B">
        <w:rPr>
          <w:szCs w:val="28"/>
          <w:lang w:val="ru-RU"/>
        </w:rPr>
        <w:t>(дата обращения: 25.03.2021)</w:t>
      </w:r>
    </w:p>
    <w:p w14:paraId="6E6D7F74" w14:textId="77777777" w:rsidR="00C65397" w:rsidRPr="00617E8B" w:rsidRDefault="00C65397" w:rsidP="00617E8B">
      <w:pPr>
        <w:pStyle w:val="a6"/>
        <w:numPr>
          <w:ilvl w:val="0"/>
          <w:numId w:val="1"/>
        </w:numPr>
        <w:tabs>
          <w:tab w:val="left" w:pos="851"/>
        </w:tabs>
        <w:spacing w:before="0" w:beforeAutospacing="0" w:after="0" w:afterAutospacing="0"/>
        <w:ind w:left="0" w:firstLine="567"/>
        <w:jc w:val="both"/>
        <w:textAlignment w:val="top"/>
        <w:rPr>
          <w:sz w:val="28"/>
          <w:szCs w:val="28"/>
        </w:rPr>
      </w:pPr>
      <w:r w:rsidRPr="00617E8B">
        <w:rPr>
          <w:sz w:val="28"/>
          <w:szCs w:val="28"/>
        </w:rPr>
        <w:t>Московская биржа [Электронный ресурс</w:t>
      </w:r>
      <w:proofErr w:type="gramStart"/>
      <w:r w:rsidRPr="00617E8B">
        <w:rPr>
          <w:sz w:val="28"/>
          <w:szCs w:val="28"/>
        </w:rPr>
        <w:t>] :</w:t>
      </w:r>
      <w:proofErr w:type="gramEnd"/>
      <w:r w:rsidRPr="00617E8B">
        <w:rPr>
          <w:sz w:val="28"/>
          <w:szCs w:val="28"/>
        </w:rPr>
        <w:t xml:space="preserve"> офиц. сайт / </w:t>
      </w:r>
      <w:proofErr w:type="spellStart"/>
      <w:r w:rsidRPr="00617E8B">
        <w:rPr>
          <w:sz w:val="28"/>
          <w:szCs w:val="28"/>
        </w:rPr>
        <w:t>Мосбиржа</w:t>
      </w:r>
      <w:proofErr w:type="spellEnd"/>
      <w:r w:rsidRPr="00617E8B">
        <w:rPr>
          <w:sz w:val="28"/>
          <w:szCs w:val="28"/>
        </w:rPr>
        <w:t xml:space="preserve">. – М., 2011, – Режим доступа: </w:t>
      </w:r>
      <w:hyperlink r:id="rId11" w:history="1">
        <w:r w:rsidRPr="00617E8B">
          <w:rPr>
            <w:rStyle w:val="a5"/>
            <w:color w:val="auto"/>
            <w:sz w:val="28"/>
            <w:szCs w:val="28"/>
          </w:rPr>
          <w:t>https://www.moex.com</w:t>
        </w:r>
      </w:hyperlink>
      <w:r w:rsidRPr="00617E8B">
        <w:rPr>
          <w:sz w:val="28"/>
          <w:szCs w:val="28"/>
        </w:rPr>
        <w:t xml:space="preserve"> (дата обращения: 25.03.2021)</w:t>
      </w:r>
    </w:p>
    <w:p w14:paraId="79BF6D23" w14:textId="77777777" w:rsidR="00C65397" w:rsidRPr="00617E8B" w:rsidRDefault="00C65397" w:rsidP="00617E8B">
      <w:pPr>
        <w:pStyle w:val="a6"/>
        <w:numPr>
          <w:ilvl w:val="0"/>
          <w:numId w:val="1"/>
        </w:numPr>
        <w:tabs>
          <w:tab w:val="left" w:pos="851"/>
        </w:tabs>
        <w:spacing w:before="0" w:beforeAutospacing="0" w:after="0" w:afterAutospacing="0"/>
        <w:ind w:left="0" w:firstLine="567"/>
        <w:jc w:val="both"/>
        <w:textAlignment w:val="top"/>
        <w:rPr>
          <w:sz w:val="28"/>
          <w:szCs w:val="28"/>
        </w:rPr>
      </w:pPr>
      <w:r w:rsidRPr="00617E8B">
        <w:rPr>
          <w:sz w:val="28"/>
          <w:szCs w:val="28"/>
        </w:rPr>
        <w:t>АО «Инвестиционная компания «ФИНАМ» [Электронный ресурс</w:t>
      </w:r>
      <w:proofErr w:type="gramStart"/>
      <w:r w:rsidRPr="00617E8B">
        <w:rPr>
          <w:sz w:val="28"/>
          <w:szCs w:val="28"/>
        </w:rPr>
        <w:t>] :</w:t>
      </w:r>
      <w:proofErr w:type="gramEnd"/>
      <w:r w:rsidRPr="00617E8B">
        <w:rPr>
          <w:sz w:val="28"/>
          <w:szCs w:val="28"/>
        </w:rPr>
        <w:t xml:space="preserve"> офиц. сайт / ФИНАМ. – М., 2000, – Режим доступа: </w:t>
      </w:r>
      <w:hyperlink r:id="rId12" w:history="1">
        <w:r w:rsidRPr="00617E8B">
          <w:rPr>
            <w:rStyle w:val="a5"/>
            <w:color w:val="auto"/>
            <w:sz w:val="28"/>
            <w:szCs w:val="28"/>
            <w:lang w:val="en-US"/>
          </w:rPr>
          <w:t>https</w:t>
        </w:r>
        <w:r w:rsidRPr="00617E8B">
          <w:rPr>
            <w:rStyle w:val="a5"/>
            <w:color w:val="auto"/>
            <w:sz w:val="28"/>
            <w:szCs w:val="28"/>
          </w:rPr>
          <w:t>://</w:t>
        </w:r>
        <w:r w:rsidRPr="00617E8B">
          <w:rPr>
            <w:rStyle w:val="a5"/>
            <w:color w:val="auto"/>
            <w:sz w:val="28"/>
            <w:szCs w:val="28"/>
            <w:lang w:val="en-US"/>
          </w:rPr>
          <w:t>www</w:t>
        </w:r>
        <w:r w:rsidRPr="00617E8B">
          <w:rPr>
            <w:rStyle w:val="a5"/>
            <w:color w:val="auto"/>
            <w:sz w:val="28"/>
            <w:szCs w:val="28"/>
          </w:rPr>
          <w:t>.</w:t>
        </w:r>
        <w:proofErr w:type="spellStart"/>
        <w:r w:rsidRPr="00617E8B">
          <w:rPr>
            <w:rStyle w:val="a5"/>
            <w:color w:val="auto"/>
            <w:sz w:val="28"/>
            <w:szCs w:val="28"/>
            <w:lang w:val="en-US"/>
          </w:rPr>
          <w:t>finam</w:t>
        </w:r>
        <w:proofErr w:type="spellEnd"/>
        <w:r w:rsidRPr="00617E8B">
          <w:rPr>
            <w:rStyle w:val="a5"/>
            <w:color w:val="auto"/>
            <w:sz w:val="28"/>
            <w:szCs w:val="28"/>
          </w:rPr>
          <w:t>.</w:t>
        </w:r>
        <w:proofErr w:type="spellStart"/>
        <w:r w:rsidRPr="00617E8B">
          <w:rPr>
            <w:rStyle w:val="a5"/>
            <w:color w:val="auto"/>
            <w:sz w:val="28"/>
            <w:szCs w:val="28"/>
            <w:lang w:val="en-US"/>
          </w:rPr>
          <w:t>ru</w:t>
        </w:r>
        <w:proofErr w:type="spellEnd"/>
      </w:hyperlink>
      <w:r w:rsidRPr="00617E8B">
        <w:rPr>
          <w:sz w:val="28"/>
          <w:szCs w:val="28"/>
        </w:rPr>
        <w:t xml:space="preserve"> (дата обращения 25.03.2021)</w:t>
      </w:r>
    </w:p>
    <w:p w14:paraId="3FCADC6A" w14:textId="77777777" w:rsidR="0009509E" w:rsidRPr="00617E8B" w:rsidRDefault="0009509E" w:rsidP="00617E8B">
      <w:pPr>
        <w:pStyle w:val="a6"/>
        <w:numPr>
          <w:ilvl w:val="0"/>
          <w:numId w:val="1"/>
        </w:numPr>
        <w:tabs>
          <w:tab w:val="left" w:pos="851"/>
        </w:tabs>
        <w:spacing w:before="0" w:beforeAutospacing="0" w:after="0" w:afterAutospacing="0"/>
        <w:ind w:left="0" w:firstLine="567"/>
        <w:jc w:val="both"/>
        <w:textAlignment w:val="top"/>
        <w:rPr>
          <w:sz w:val="28"/>
          <w:szCs w:val="28"/>
        </w:rPr>
      </w:pPr>
      <w:r w:rsidRPr="00617E8B">
        <w:rPr>
          <w:sz w:val="28"/>
          <w:szCs w:val="28"/>
        </w:rPr>
        <w:t>ИА «</w:t>
      </w:r>
      <w:proofErr w:type="spellStart"/>
      <w:r w:rsidRPr="00617E8B">
        <w:rPr>
          <w:sz w:val="28"/>
          <w:szCs w:val="28"/>
        </w:rPr>
        <w:t>Банки.ру</w:t>
      </w:r>
      <w:proofErr w:type="spellEnd"/>
      <w:r w:rsidRPr="00617E8B">
        <w:rPr>
          <w:sz w:val="28"/>
          <w:szCs w:val="28"/>
        </w:rPr>
        <w:t>» [Электронный ресурс</w:t>
      </w:r>
      <w:proofErr w:type="gramStart"/>
      <w:r w:rsidRPr="00617E8B">
        <w:rPr>
          <w:sz w:val="28"/>
          <w:szCs w:val="28"/>
        </w:rPr>
        <w:t>] :</w:t>
      </w:r>
      <w:proofErr w:type="gramEnd"/>
      <w:r w:rsidRPr="00617E8B">
        <w:rPr>
          <w:sz w:val="28"/>
          <w:szCs w:val="28"/>
        </w:rPr>
        <w:t xml:space="preserve"> офиц. сайт / </w:t>
      </w:r>
      <w:proofErr w:type="spellStart"/>
      <w:r w:rsidRPr="00617E8B">
        <w:rPr>
          <w:sz w:val="28"/>
          <w:szCs w:val="28"/>
        </w:rPr>
        <w:t>Банки.ру</w:t>
      </w:r>
      <w:proofErr w:type="spellEnd"/>
      <w:r w:rsidRPr="00617E8B">
        <w:rPr>
          <w:sz w:val="28"/>
          <w:szCs w:val="28"/>
        </w:rPr>
        <w:t>. – М., 2005, – Режим доступа:</w:t>
      </w:r>
      <w:r w:rsidRPr="00617E8B">
        <w:t xml:space="preserve"> </w:t>
      </w:r>
      <w:hyperlink r:id="rId13" w:history="1">
        <w:r w:rsidRPr="00617E8B">
          <w:rPr>
            <w:rStyle w:val="a5"/>
            <w:color w:val="auto"/>
            <w:sz w:val="28"/>
            <w:szCs w:val="28"/>
          </w:rPr>
          <w:t>https://www.banki.ru</w:t>
        </w:r>
      </w:hyperlink>
      <w:r w:rsidRPr="00617E8B">
        <w:rPr>
          <w:sz w:val="28"/>
          <w:szCs w:val="28"/>
        </w:rPr>
        <w:t xml:space="preserve"> (дата обращения 25.03.2021)</w:t>
      </w:r>
    </w:p>
    <w:p w14:paraId="64769C5B" w14:textId="77777777" w:rsidR="00C65397" w:rsidRDefault="00C65397" w:rsidP="008567AD">
      <w:pPr>
        <w:jc w:val="left"/>
        <w:rPr>
          <w:lang w:val="ru-RU"/>
        </w:rPr>
      </w:pPr>
    </w:p>
    <w:p w14:paraId="355944B2" w14:textId="77777777" w:rsidR="00700CD2" w:rsidRDefault="00700CD2" w:rsidP="008567AD">
      <w:pPr>
        <w:jc w:val="left"/>
        <w:rPr>
          <w:lang w:val="ru-RU"/>
        </w:rPr>
      </w:pPr>
    </w:p>
    <w:p w14:paraId="3CAD413F" w14:textId="77777777" w:rsidR="00700CD2" w:rsidRDefault="00700CD2" w:rsidP="008567AD">
      <w:pPr>
        <w:jc w:val="left"/>
        <w:rPr>
          <w:lang w:val="ru-RU"/>
        </w:rPr>
      </w:pPr>
    </w:p>
    <w:p w14:paraId="5DACECE5" w14:textId="77777777" w:rsidR="00700CD2" w:rsidRPr="00C65397" w:rsidRDefault="00700CD2" w:rsidP="008567AD">
      <w:pPr>
        <w:jc w:val="left"/>
        <w:rPr>
          <w:lang w:val="ru-RU"/>
        </w:rPr>
      </w:pPr>
    </w:p>
    <w:sectPr w:rsidR="00700CD2" w:rsidRPr="00C65397" w:rsidSect="00ED2AA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22A0"/>
    <w:multiLevelType w:val="hybridMultilevel"/>
    <w:tmpl w:val="2258FA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EDC495C"/>
    <w:multiLevelType w:val="hybridMultilevel"/>
    <w:tmpl w:val="34E00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1985892"/>
    <w:multiLevelType w:val="hybridMultilevel"/>
    <w:tmpl w:val="08B0C1DC"/>
    <w:lvl w:ilvl="0" w:tplc="4C92F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C5"/>
    <w:rsid w:val="00074220"/>
    <w:rsid w:val="0009509E"/>
    <w:rsid w:val="000A6ED2"/>
    <w:rsid w:val="000F5E8C"/>
    <w:rsid w:val="001366AA"/>
    <w:rsid w:val="0014274F"/>
    <w:rsid w:val="001C11BF"/>
    <w:rsid w:val="00236D32"/>
    <w:rsid w:val="00237BAA"/>
    <w:rsid w:val="00247885"/>
    <w:rsid w:val="0025054B"/>
    <w:rsid w:val="002F538F"/>
    <w:rsid w:val="003229B7"/>
    <w:rsid w:val="00340A90"/>
    <w:rsid w:val="00385335"/>
    <w:rsid w:val="003B2E34"/>
    <w:rsid w:val="00415286"/>
    <w:rsid w:val="004268F3"/>
    <w:rsid w:val="00431223"/>
    <w:rsid w:val="00442891"/>
    <w:rsid w:val="00463E0F"/>
    <w:rsid w:val="0049644C"/>
    <w:rsid w:val="00501CCF"/>
    <w:rsid w:val="00510A14"/>
    <w:rsid w:val="00523CC5"/>
    <w:rsid w:val="005367C9"/>
    <w:rsid w:val="005434DD"/>
    <w:rsid w:val="005627D9"/>
    <w:rsid w:val="005A1170"/>
    <w:rsid w:val="005F5ED4"/>
    <w:rsid w:val="00611BBF"/>
    <w:rsid w:val="00617E8B"/>
    <w:rsid w:val="0063746A"/>
    <w:rsid w:val="00650F62"/>
    <w:rsid w:val="00665613"/>
    <w:rsid w:val="006B1419"/>
    <w:rsid w:val="006C07BC"/>
    <w:rsid w:val="00700CD2"/>
    <w:rsid w:val="00730424"/>
    <w:rsid w:val="00771845"/>
    <w:rsid w:val="00774086"/>
    <w:rsid w:val="008567AD"/>
    <w:rsid w:val="008B17E1"/>
    <w:rsid w:val="008E2E3E"/>
    <w:rsid w:val="008F724C"/>
    <w:rsid w:val="008F7E44"/>
    <w:rsid w:val="00953B9B"/>
    <w:rsid w:val="009B175F"/>
    <w:rsid w:val="00A63F7E"/>
    <w:rsid w:val="00A7634B"/>
    <w:rsid w:val="00AA6A2E"/>
    <w:rsid w:val="00AD3AE9"/>
    <w:rsid w:val="00AE2C56"/>
    <w:rsid w:val="00AE5316"/>
    <w:rsid w:val="00B0056D"/>
    <w:rsid w:val="00B0167C"/>
    <w:rsid w:val="00B07D2F"/>
    <w:rsid w:val="00B26BBB"/>
    <w:rsid w:val="00B56847"/>
    <w:rsid w:val="00B706B1"/>
    <w:rsid w:val="00BC2FCC"/>
    <w:rsid w:val="00C31DB6"/>
    <w:rsid w:val="00C3700B"/>
    <w:rsid w:val="00C65397"/>
    <w:rsid w:val="00D41580"/>
    <w:rsid w:val="00DF5445"/>
    <w:rsid w:val="00EA28D4"/>
    <w:rsid w:val="00ED2AA2"/>
    <w:rsid w:val="00F160B8"/>
    <w:rsid w:val="00FB5E0B"/>
    <w:rsid w:val="00FF3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6003"/>
  <w15:docId w15:val="{48116AB6-4E9C-4B1E-9AC5-14A4EC21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BAA"/>
    <w:pPr>
      <w:spacing w:after="0" w:line="240" w:lineRule="auto"/>
      <w:ind w:firstLine="567"/>
      <w:jc w:val="both"/>
    </w:pPr>
    <w:rPr>
      <w:rFonts w:ascii="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7BAA"/>
    <w:rPr>
      <w:rFonts w:ascii="Tahoma" w:hAnsi="Tahoma" w:cs="Tahoma"/>
      <w:sz w:val="16"/>
      <w:szCs w:val="16"/>
    </w:rPr>
  </w:style>
  <w:style w:type="character" w:customStyle="1" w:styleId="a4">
    <w:name w:val="Текст выноски Знак"/>
    <w:basedOn w:val="a0"/>
    <w:link w:val="a3"/>
    <w:uiPriority w:val="99"/>
    <w:semiHidden/>
    <w:rsid w:val="00237BAA"/>
    <w:rPr>
      <w:rFonts w:ascii="Tahoma" w:hAnsi="Tahoma" w:cs="Tahoma"/>
      <w:sz w:val="16"/>
      <w:szCs w:val="16"/>
      <w:lang w:val="en-US"/>
    </w:rPr>
  </w:style>
  <w:style w:type="character" w:styleId="a5">
    <w:name w:val="Hyperlink"/>
    <w:basedOn w:val="a0"/>
    <w:uiPriority w:val="99"/>
    <w:unhideWhenUsed/>
    <w:rsid w:val="00C65397"/>
    <w:rPr>
      <w:color w:val="0000FF"/>
      <w:u w:val="single"/>
    </w:rPr>
  </w:style>
  <w:style w:type="paragraph" w:styleId="a6">
    <w:name w:val="Normal (Web)"/>
    <w:aliases w:val="Обычный (Web)1,Обычный (веб) Знак1 Знак,Обычный (веб) Знак Знак Знак1,Обычный (веб) Знак Знак Знак Знак,Обычный (веб) Знак Знак Знак Знак Знак Знак"/>
    <w:basedOn w:val="a"/>
    <w:link w:val="a7"/>
    <w:uiPriority w:val="99"/>
    <w:rsid w:val="00C65397"/>
    <w:pPr>
      <w:spacing w:before="100" w:beforeAutospacing="1" w:after="100" w:afterAutospacing="1"/>
      <w:ind w:firstLine="0"/>
      <w:jc w:val="left"/>
    </w:pPr>
    <w:rPr>
      <w:rFonts w:eastAsia="Times New Roman" w:cs="Times New Roman"/>
      <w:sz w:val="24"/>
      <w:szCs w:val="24"/>
      <w:lang w:val="ru-RU" w:eastAsia="ru-RU"/>
    </w:rPr>
  </w:style>
  <w:style w:type="character" w:customStyle="1" w:styleId="a7">
    <w:name w:val="Обычный (Интернет) Знак"/>
    <w:aliases w:val="Обычный (Web)1 Знак,Обычный (веб) Знак1 Знак Знак,Обычный (веб) Знак Знак Знак1 Знак,Обычный (веб) Знак Знак Знак Знак Знак,Обычный (веб) Знак Знак Знак Знак Знак Знак Знак"/>
    <w:link w:val="a6"/>
    <w:uiPriority w:val="99"/>
    <w:rsid w:val="00C65397"/>
    <w:rPr>
      <w:rFonts w:ascii="Times New Roman" w:eastAsia="Times New Roman" w:hAnsi="Times New Roman" w:cs="Times New Roman"/>
      <w:sz w:val="24"/>
      <w:szCs w:val="24"/>
      <w:lang w:eastAsia="ru-RU"/>
    </w:rPr>
  </w:style>
  <w:style w:type="table" w:styleId="a8">
    <w:name w:val="Table Grid"/>
    <w:basedOn w:val="a1"/>
    <w:uiPriority w:val="59"/>
    <w:rsid w:val="0066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247885"/>
    <w:pPr>
      <w:ind w:left="720"/>
      <w:contextualSpacing/>
    </w:pPr>
  </w:style>
  <w:style w:type="character" w:customStyle="1" w:styleId="aa">
    <w:name w:val="Абзац списка Знак"/>
    <w:basedOn w:val="a0"/>
    <w:link w:val="a9"/>
    <w:uiPriority w:val="34"/>
    <w:rsid w:val="00774086"/>
    <w:rPr>
      <w:rFonts w:ascii="Times New Roman" w:hAnsi="Times New Roman"/>
      <w:sz w:val="28"/>
      <w:lang w:val="en-US"/>
    </w:rPr>
  </w:style>
  <w:style w:type="paragraph" w:styleId="HTML">
    <w:name w:val="HTML Preformatted"/>
    <w:basedOn w:val="a"/>
    <w:link w:val="HTML0"/>
    <w:uiPriority w:val="99"/>
    <w:semiHidden/>
    <w:unhideWhenUsed/>
    <w:rsid w:val="008F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F724C"/>
    <w:rPr>
      <w:rFonts w:ascii="Courier New" w:eastAsia="Times New Roman" w:hAnsi="Courier New" w:cs="Courier New"/>
      <w:sz w:val="20"/>
      <w:szCs w:val="20"/>
      <w:lang w:eastAsia="ru-RU"/>
    </w:rPr>
  </w:style>
  <w:style w:type="character" w:customStyle="1" w:styleId="y2iqfc">
    <w:name w:val="y2iqfc"/>
    <w:basedOn w:val="a0"/>
    <w:rsid w:val="008F7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49359">
      <w:bodyDiv w:val="1"/>
      <w:marLeft w:val="0"/>
      <w:marRight w:val="0"/>
      <w:marTop w:val="0"/>
      <w:marBottom w:val="0"/>
      <w:divBdr>
        <w:top w:val="none" w:sz="0" w:space="0" w:color="auto"/>
        <w:left w:val="none" w:sz="0" w:space="0" w:color="auto"/>
        <w:bottom w:val="none" w:sz="0" w:space="0" w:color="auto"/>
        <w:right w:val="none" w:sz="0" w:space="0" w:color="auto"/>
      </w:divBdr>
    </w:div>
    <w:div w:id="556740682">
      <w:bodyDiv w:val="1"/>
      <w:marLeft w:val="0"/>
      <w:marRight w:val="0"/>
      <w:marTop w:val="0"/>
      <w:marBottom w:val="0"/>
      <w:divBdr>
        <w:top w:val="none" w:sz="0" w:space="0" w:color="auto"/>
        <w:left w:val="none" w:sz="0" w:space="0" w:color="auto"/>
        <w:bottom w:val="none" w:sz="0" w:space="0" w:color="auto"/>
        <w:right w:val="none" w:sz="0" w:space="0" w:color="auto"/>
      </w:divBdr>
    </w:div>
    <w:div w:id="2018535964">
      <w:bodyDiv w:val="1"/>
      <w:marLeft w:val="0"/>
      <w:marRight w:val="0"/>
      <w:marTop w:val="0"/>
      <w:marBottom w:val="0"/>
      <w:divBdr>
        <w:top w:val="none" w:sz="0" w:space="0" w:color="auto"/>
        <w:left w:val="none" w:sz="0" w:space="0" w:color="auto"/>
        <w:bottom w:val="none" w:sz="0" w:space="0" w:color="auto"/>
        <w:right w:val="none" w:sz="0" w:space="0" w:color="auto"/>
      </w:divBdr>
    </w:div>
    <w:div w:id="2028871610">
      <w:bodyDiv w:val="1"/>
      <w:marLeft w:val="0"/>
      <w:marRight w:val="0"/>
      <w:marTop w:val="0"/>
      <w:marBottom w:val="0"/>
      <w:divBdr>
        <w:top w:val="none" w:sz="0" w:space="0" w:color="auto"/>
        <w:left w:val="none" w:sz="0" w:space="0" w:color="auto"/>
        <w:bottom w:val="none" w:sz="0" w:space="0" w:color="auto"/>
        <w:right w:val="none" w:sz="0" w:space="0" w:color="auto"/>
      </w:divBdr>
    </w:div>
    <w:div w:id="212233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ult.info/articles/kak-investirovat/chto-takoe-aktsii-i-kak-na-nikh-zarabotat/" TargetMode="External"/><Relationship Id="rId13" Type="http://schemas.openxmlformats.org/officeDocument/2006/relationships/hyperlink" Target="https://www.banki.ru"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fin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tesova.s.98@gmail.com" TargetMode="External"/><Relationship Id="rId11" Type="http://schemas.openxmlformats.org/officeDocument/2006/relationships/hyperlink" Target="https://www.moex.com" TargetMode="External"/><Relationship Id="rId5" Type="http://schemas.openxmlformats.org/officeDocument/2006/relationships/hyperlink" Target="mailto:borodavkols@mail.ru" TargetMode="External"/><Relationship Id="rId15" Type="http://schemas.openxmlformats.org/officeDocument/2006/relationships/theme" Target="theme/theme1.xml"/><Relationship Id="rId10" Type="http://schemas.openxmlformats.org/officeDocument/2006/relationships/hyperlink" Target="https://fincult.info/article/fyuchersy-i-optsiony-chto-eto-i-mozhno-li-na-nikh-zarabotat/" TargetMode="External"/><Relationship Id="rId4" Type="http://schemas.openxmlformats.org/officeDocument/2006/relationships/webSettings" Target="webSettings.xml"/><Relationship Id="rId9" Type="http://schemas.openxmlformats.org/officeDocument/2006/relationships/hyperlink" Target="https://fincult.info/articles/kak-investirovat/obligatsii-chto-eto-takoe-i-kak-na-nikh-zarabotat/"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1057;&#1058;&#1059;&#1044;&#1045;&#1053;&#1058;&#1067;\&#1084;&#1072;&#1075;&#1080;&#1089;&#1090;&#1088;&#1072;&#1085;&#1090;&#1099;\&#1053;&#1077;&#1090;&#1077;&#1089;&#1086;&#1074;&#1072;\&#1072;&#1085;&#1072;&#1083;&#1080;&#107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Лист1!$P$3</c:f>
              <c:strCache>
                <c:ptCount val="1"/>
                <c:pt idx="0">
                  <c:v>количество зарегистрированных в системе торгов клиентов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Лист1!$Q$2:$W$2</c:f>
              <c:strCache>
                <c:ptCount val="7"/>
                <c:pt idx="0">
                  <c:v>2015</c:v>
                </c:pt>
                <c:pt idx="1">
                  <c:v>2016</c:v>
                </c:pt>
                <c:pt idx="2">
                  <c:v>2017</c:v>
                </c:pt>
                <c:pt idx="3">
                  <c:v>2018</c:v>
                </c:pt>
                <c:pt idx="4">
                  <c:v>2019</c:v>
                </c:pt>
                <c:pt idx="5">
                  <c:v>2020</c:v>
                </c:pt>
                <c:pt idx="6">
                  <c:v>февраль 2021</c:v>
                </c:pt>
              </c:strCache>
            </c:strRef>
          </c:cat>
          <c:val>
            <c:numRef>
              <c:f>Лист1!$Q$3:$W$3</c:f>
              <c:numCache>
                <c:formatCode>General</c:formatCode>
                <c:ptCount val="7"/>
                <c:pt idx="0">
                  <c:v>1296.0999999999999</c:v>
                </c:pt>
                <c:pt idx="1">
                  <c:v>1499.8</c:v>
                </c:pt>
                <c:pt idx="2">
                  <c:v>1893.7</c:v>
                </c:pt>
                <c:pt idx="3">
                  <c:v>2951.7</c:v>
                </c:pt>
                <c:pt idx="4">
                  <c:v>6136.6</c:v>
                </c:pt>
                <c:pt idx="5">
                  <c:v>14613.7</c:v>
                </c:pt>
                <c:pt idx="6">
                  <c:v>16770.3</c:v>
                </c:pt>
              </c:numCache>
            </c:numRef>
          </c:val>
          <c:extLst>
            <c:ext xmlns:c16="http://schemas.microsoft.com/office/drawing/2014/chart" uri="{C3380CC4-5D6E-409C-BE32-E72D297353CC}">
              <c16:uniqueId val="{00000000-1D6D-984C-8E2C-9AA622659BE1}"/>
            </c:ext>
          </c:extLst>
        </c:ser>
        <c:ser>
          <c:idx val="1"/>
          <c:order val="1"/>
          <c:tx>
            <c:strRef>
              <c:f>Лист1!$P$4</c:f>
              <c:strCache>
                <c:ptCount val="1"/>
                <c:pt idx="0">
                  <c:v>количество активных клиентов в системе торгов</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Лист1!$Q$2:$W$2</c:f>
              <c:strCache>
                <c:ptCount val="7"/>
                <c:pt idx="0">
                  <c:v>2015</c:v>
                </c:pt>
                <c:pt idx="1">
                  <c:v>2016</c:v>
                </c:pt>
                <c:pt idx="2">
                  <c:v>2017</c:v>
                </c:pt>
                <c:pt idx="3">
                  <c:v>2018</c:v>
                </c:pt>
                <c:pt idx="4">
                  <c:v>2019</c:v>
                </c:pt>
                <c:pt idx="5">
                  <c:v>2020</c:v>
                </c:pt>
                <c:pt idx="6">
                  <c:v>февраль 2021</c:v>
                </c:pt>
              </c:strCache>
            </c:strRef>
          </c:cat>
          <c:val>
            <c:numRef>
              <c:f>Лист1!$Q$4:$W$4</c:f>
              <c:numCache>
                <c:formatCode>General</c:formatCode>
                <c:ptCount val="7"/>
                <c:pt idx="0">
                  <c:v>74.900000000000006</c:v>
                </c:pt>
                <c:pt idx="1">
                  <c:v>95.7</c:v>
                </c:pt>
                <c:pt idx="2">
                  <c:v>109.5</c:v>
                </c:pt>
                <c:pt idx="3">
                  <c:v>190.2</c:v>
                </c:pt>
                <c:pt idx="4">
                  <c:v>392.2</c:v>
                </c:pt>
                <c:pt idx="5">
                  <c:v>1417.9</c:v>
                </c:pt>
                <c:pt idx="6">
                  <c:v>1618.5</c:v>
                </c:pt>
              </c:numCache>
            </c:numRef>
          </c:val>
          <c:extLst>
            <c:ext xmlns:c16="http://schemas.microsoft.com/office/drawing/2014/chart" uri="{C3380CC4-5D6E-409C-BE32-E72D297353CC}">
              <c16:uniqueId val="{00000001-1D6D-984C-8E2C-9AA622659BE1}"/>
            </c:ext>
          </c:extLst>
        </c:ser>
        <c:dLbls>
          <c:showLegendKey val="0"/>
          <c:showVal val="1"/>
          <c:showCatName val="0"/>
          <c:showSerName val="0"/>
          <c:showPercent val="0"/>
          <c:showBubbleSize val="0"/>
        </c:dLbls>
        <c:gapWidth val="75"/>
        <c:axId val="77968896"/>
        <c:axId val="77970432"/>
      </c:barChart>
      <c:catAx>
        <c:axId val="77968896"/>
        <c:scaling>
          <c:orientation val="minMax"/>
        </c:scaling>
        <c:delete val="0"/>
        <c:axPos val="b"/>
        <c:numFmt formatCode="General" sourceLinked="0"/>
        <c:majorTickMark val="none"/>
        <c:minorTickMark val="none"/>
        <c:tickLblPos val="nextTo"/>
        <c:crossAx val="77970432"/>
        <c:crosses val="autoZero"/>
        <c:auto val="1"/>
        <c:lblAlgn val="ctr"/>
        <c:lblOffset val="100"/>
        <c:noMultiLvlLbl val="0"/>
      </c:catAx>
      <c:valAx>
        <c:axId val="77970432"/>
        <c:scaling>
          <c:orientation val="minMax"/>
        </c:scaling>
        <c:delete val="0"/>
        <c:axPos val="l"/>
        <c:numFmt formatCode="General" sourceLinked="1"/>
        <c:majorTickMark val="none"/>
        <c:minorTickMark val="none"/>
        <c:tickLblPos val="nextTo"/>
        <c:crossAx val="77968896"/>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3234</Words>
  <Characters>18439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Сольская Ирина Юрьевна</cp:lastModifiedBy>
  <cp:revision>2</cp:revision>
  <dcterms:created xsi:type="dcterms:W3CDTF">2021-04-13T12:50:00Z</dcterms:created>
  <dcterms:modified xsi:type="dcterms:W3CDTF">2021-04-13T12:50:00Z</dcterms:modified>
</cp:coreProperties>
</file>