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223D7" w14:textId="77777777" w:rsidR="00894187" w:rsidRDefault="00894187" w:rsidP="00894187">
      <w:pPr>
        <w:jc w:val="right"/>
        <w:rPr>
          <w:sz w:val="28"/>
          <w:szCs w:val="28"/>
        </w:rPr>
      </w:pPr>
      <w:bookmarkStart w:id="0" w:name="_GoBack"/>
      <w:r w:rsidRPr="006968FB">
        <w:rPr>
          <w:sz w:val="28"/>
          <w:szCs w:val="28"/>
        </w:rPr>
        <w:t>Самсонов Евгений Анатольевич</w:t>
      </w:r>
    </w:p>
    <w:p w14:paraId="0205E858" w14:textId="77777777" w:rsidR="00894187" w:rsidRPr="006968FB" w:rsidRDefault="00894187" w:rsidP="00894187">
      <w:pPr>
        <w:jc w:val="right"/>
        <w:rPr>
          <w:sz w:val="28"/>
          <w:szCs w:val="28"/>
        </w:rPr>
      </w:pPr>
      <w:proofErr w:type="spellStart"/>
      <w:r w:rsidRPr="006968FB">
        <w:rPr>
          <w:sz w:val="28"/>
          <w:szCs w:val="28"/>
        </w:rPr>
        <w:t>Samsonov</w:t>
      </w:r>
      <w:proofErr w:type="spellEnd"/>
      <w:r w:rsidRPr="006968FB">
        <w:rPr>
          <w:sz w:val="28"/>
          <w:szCs w:val="28"/>
        </w:rPr>
        <w:t xml:space="preserve"> </w:t>
      </w:r>
      <w:proofErr w:type="spellStart"/>
      <w:r w:rsidRPr="006968FB">
        <w:rPr>
          <w:sz w:val="28"/>
          <w:szCs w:val="28"/>
        </w:rPr>
        <w:t>Evgeniy</w:t>
      </w:r>
      <w:proofErr w:type="spellEnd"/>
      <w:r w:rsidRPr="006968FB">
        <w:rPr>
          <w:sz w:val="28"/>
          <w:szCs w:val="28"/>
        </w:rPr>
        <w:t xml:space="preserve"> </w:t>
      </w:r>
      <w:proofErr w:type="spellStart"/>
      <w:r w:rsidRPr="006968FB">
        <w:rPr>
          <w:sz w:val="28"/>
          <w:szCs w:val="28"/>
        </w:rPr>
        <w:t>Anatolevich</w:t>
      </w:r>
      <w:proofErr w:type="spellEnd"/>
    </w:p>
    <w:p w14:paraId="37AF2766" w14:textId="77777777" w:rsidR="00894187" w:rsidRPr="00894187" w:rsidRDefault="00894187" w:rsidP="00894187">
      <w:pPr>
        <w:jc w:val="right"/>
        <w:rPr>
          <w:sz w:val="28"/>
          <w:szCs w:val="28"/>
          <w:lang w:val="en-US"/>
        </w:rPr>
      </w:pPr>
      <w:r w:rsidRPr="006968FB">
        <w:rPr>
          <w:sz w:val="28"/>
          <w:szCs w:val="28"/>
        </w:rPr>
        <w:t>к</w:t>
      </w:r>
      <w:r w:rsidRPr="00894187">
        <w:rPr>
          <w:sz w:val="28"/>
          <w:szCs w:val="28"/>
          <w:lang w:val="en-US"/>
        </w:rPr>
        <w:t>.</w:t>
      </w:r>
      <w:r w:rsidRPr="006968FB">
        <w:rPr>
          <w:sz w:val="28"/>
          <w:szCs w:val="28"/>
        </w:rPr>
        <w:t>э</w:t>
      </w:r>
      <w:r w:rsidRPr="00894187">
        <w:rPr>
          <w:sz w:val="28"/>
          <w:szCs w:val="28"/>
          <w:lang w:val="en-US"/>
        </w:rPr>
        <w:t>.</w:t>
      </w:r>
      <w:r w:rsidRPr="006968FB">
        <w:rPr>
          <w:sz w:val="28"/>
          <w:szCs w:val="28"/>
        </w:rPr>
        <w:t>н</w:t>
      </w:r>
      <w:r w:rsidRPr="00894187">
        <w:rPr>
          <w:sz w:val="28"/>
          <w:szCs w:val="28"/>
          <w:lang w:val="en-US"/>
        </w:rPr>
        <w:t xml:space="preserve">., </w:t>
      </w:r>
      <w:r w:rsidRPr="006968FB">
        <w:rPr>
          <w:sz w:val="28"/>
          <w:szCs w:val="28"/>
        </w:rPr>
        <w:t>доцент</w:t>
      </w:r>
    </w:p>
    <w:p w14:paraId="55874D12" w14:textId="77777777" w:rsidR="00894187" w:rsidRPr="00894187" w:rsidRDefault="00894187" w:rsidP="00894187">
      <w:pPr>
        <w:jc w:val="right"/>
        <w:rPr>
          <w:sz w:val="28"/>
          <w:szCs w:val="28"/>
          <w:lang w:val="en-US"/>
        </w:rPr>
      </w:pPr>
      <w:r w:rsidRPr="00894187">
        <w:rPr>
          <w:sz w:val="28"/>
          <w:szCs w:val="28"/>
          <w:lang w:val="en-US"/>
        </w:rPr>
        <w:t>PhD in Economics, Associate Professor</w:t>
      </w:r>
    </w:p>
    <w:p w14:paraId="42A4944A" w14:textId="77777777" w:rsidR="00894187" w:rsidRPr="006968FB" w:rsidRDefault="00894187" w:rsidP="00894187">
      <w:pPr>
        <w:jc w:val="right"/>
        <w:rPr>
          <w:sz w:val="28"/>
          <w:szCs w:val="28"/>
        </w:rPr>
      </w:pPr>
      <w:r w:rsidRPr="006968FB">
        <w:rPr>
          <w:sz w:val="28"/>
          <w:szCs w:val="28"/>
        </w:rPr>
        <w:t xml:space="preserve">ФГБОУ </w:t>
      </w:r>
      <w:proofErr w:type="gramStart"/>
      <w:r w:rsidRPr="006968FB">
        <w:rPr>
          <w:sz w:val="28"/>
          <w:szCs w:val="28"/>
        </w:rPr>
        <w:t>ВО  «</w:t>
      </w:r>
      <w:proofErr w:type="gramEnd"/>
      <w:r w:rsidRPr="006968FB">
        <w:rPr>
          <w:sz w:val="28"/>
          <w:szCs w:val="28"/>
        </w:rPr>
        <w:t>Иркутский государственный университет</w:t>
      </w:r>
    </w:p>
    <w:p w14:paraId="3ED9B22D" w14:textId="77777777" w:rsidR="00894187" w:rsidRDefault="00894187" w:rsidP="00894187">
      <w:pPr>
        <w:jc w:val="right"/>
        <w:rPr>
          <w:sz w:val="28"/>
          <w:szCs w:val="28"/>
        </w:rPr>
      </w:pPr>
      <w:r w:rsidRPr="00D54CC4">
        <w:rPr>
          <w:sz w:val="28"/>
          <w:szCs w:val="28"/>
        </w:rPr>
        <w:t xml:space="preserve"> </w:t>
      </w:r>
      <w:r w:rsidRPr="006968FB">
        <w:rPr>
          <w:sz w:val="28"/>
          <w:szCs w:val="28"/>
        </w:rPr>
        <w:t>путей</w:t>
      </w:r>
      <w:r w:rsidRPr="00894187">
        <w:rPr>
          <w:sz w:val="28"/>
          <w:szCs w:val="28"/>
        </w:rPr>
        <w:t xml:space="preserve"> </w:t>
      </w:r>
      <w:r w:rsidRPr="006968FB">
        <w:rPr>
          <w:sz w:val="28"/>
          <w:szCs w:val="28"/>
        </w:rPr>
        <w:t>сообщения</w:t>
      </w:r>
      <w:r w:rsidRPr="00894187">
        <w:rPr>
          <w:sz w:val="28"/>
          <w:szCs w:val="28"/>
        </w:rPr>
        <w:t xml:space="preserve">, </w:t>
      </w:r>
      <w:r w:rsidRPr="006968FB">
        <w:rPr>
          <w:sz w:val="28"/>
          <w:szCs w:val="28"/>
        </w:rPr>
        <w:t>г</w:t>
      </w:r>
      <w:r w:rsidRPr="00894187">
        <w:rPr>
          <w:sz w:val="28"/>
          <w:szCs w:val="28"/>
        </w:rPr>
        <w:t xml:space="preserve">. </w:t>
      </w:r>
      <w:r w:rsidRPr="006968FB">
        <w:rPr>
          <w:sz w:val="28"/>
          <w:szCs w:val="28"/>
        </w:rPr>
        <w:t>Иркутск</w:t>
      </w:r>
      <w:r w:rsidRPr="00894187">
        <w:rPr>
          <w:sz w:val="28"/>
          <w:szCs w:val="28"/>
        </w:rPr>
        <w:t xml:space="preserve">, </w:t>
      </w:r>
      <w:r w:rsidRPr="006968FB">
        <w:rPr>
          <w:sz w:val="28"/>
          <w:szCs w:val="28"/>
        </w:rPr>
        <w:t>Россия</w:t>
      </w:r>
    </w:p>
    <w:p w14:paraId="40953347" w14:textId="77777777" w:rsidR="00894187" w:rsidRPr="00894187" w:rsidRDefault="00894187" w:rsidP="00894187">
      <w:pPr>
        <w:jc w:val="right"/>
        <w:rPr>
          <w:sz w:val="28"/>
          <w:szCs w:val="28"/>
          <w:lang w:val="en-US"/>
        </w:rPr>
      </w:pPr>
      <w:r w:rsidRPr="006968FB">
        <w:rPr>
          <w:sz w:val="28"/>
          <w:szCs w:val="28"/>
          <w:lang w:val="en-US"/>
        </w:rPr>
        <w:t>Irkutsk State Transport University, Irkutsk</w:t>
      </w:r>
      <w:r w:rsidRPr="00D54CC4">
        <w:rPr>
          <w:lang w:val="en-US"/>
        </w:rPr>
        <w:t xml:space="preserve"> </w:t>
      </w:r>
      <w:proofErr w:type="spellStart"/>
      <w:r w:rsidRPr="00D54CC4">
        <w:rPr>
          <w:sz w:val="28"/>
          <w:szCs w:val="28"/>
          <w:lang w:val="en-US"/>
        </w:rPr>
        <w:t>Irkutsk</w:t>
      </w:r>
      <w:proofErr w:type="spellEnd"/>
      <w:r w:rsidRPr="00D54CC4">
        <w:rPr>
          <w:sz w:val="28"/>
          <w:szCs w:val="28"/>
          <w:lang w:val="en-US"/>
        </w:rPr>
        <w:t>, Russian Federation</w:t>
      </w:r>
    </w:p>
    <w:p w14:paraId="36DCF6D9" w14:textId="77777777" w:rsidR="00894187" w:rsidRPr="006968FB" w:rsidRDefault="00894187" w:rsidP="00894187">
      <w:pPr>
        <w:jc w:val="right"/>
        <w:rPr>
          <w:sz w:val="28"/>
          <w:szCs w:val="28"/>
          <w:lang w:val="en-US"/>
        </w:rPr>
      </w:pPr>
      <w:r>
        <w:rPr>
          <w:sz w:val="28"/>
          <w:szCs w:val="28"/>
        </w:rPr>
        <w:t>Тел</w:t>
      </w:r>
      <w:r w:rsidRPr="00201252">
        <w:rPr>
          <w:sz w:val="28"/>
          <w:szCs w:val="28"/>
          <w:lang w:val="en-US"/>
        </w:rPr>
        <w:t>: 89643578298</w:t>
      </w:r>
      <w:r w:rsidRPr="006968FB">
        <w:rPr>
          <w:sz w:val="28"/>
          <w:szCs w:val="28"/>
          <w:lang w:val="en-US"/>
        </w:rPr>
        <w:t xml:space="preserve">  </w:t>
      </w:r>
    </w:p>
    <w:p w14:paraId="55F6A451" w14:textId="77777777" w:rsidR="00894187" w:rsidRPr="008B25B8" w:rsidRDefault="00894187" w:rsidP="00894187">
      <w:pPr>
        <w:jc w:val="right"/>
        <w:rPr>
          <w:sz w:val="28"/>
          <w:szCs w:val="28"/>
          <w:lang w:val="en-US"/>
        </w:rPr>
      </w:pPr>
      <w:r w:rsidRPr="006968FB">
        <w:rPr>
          <w:sz w:val="28"/>
          <w:szCs w:val="28"/>
          <w:lang w:val="en-US"/>
        </w:rPr>
        <w:t xml:space="preserve">e-mail: </w:t>
      </w:r>
      <w:hyperlink r:id="rId6" w:history="1">
        <w:r w:rsidRPr="006968FB">
          <w:rPr>
            <w:rStyle w:val="a4"/>
            <w:sz w:val="28"/>
            <w:szCs w:val="28"/>
            <w:lang w:val="en-US"/>
          </w:rPr>
          <w:t>samsonov-ea@mail.ru</w:t>
        </w:r>
      </w:hyperlink>
    </w:p>
    <w:p w14:paraId="720AAE2F" w14:textId="77777777" w:rsidR="00894187" w:rsidRPr="00894187" w:rsidRDefault="00894187" w:rsidP="00894187">
      <w:pPr>
        <w:pStyle w:val="a7"/>
        <w:spacing w:after="0" w:line="240" w:lineRule="auto"/>
        <w:ind w:firstLine="567"/>
        <w:jc w:val="right"/>
        <w:rPr>
          <w:rFonts w:ascii="Times New Roman" w:hAnsi="Times New Roman" w:cs="Times New Roman"/>
          <w:color w:val="000000" w:themeColor="text1"/>
          <w:sz w:val="28"/>
          <w:szCs w:val="28"/>
          <w:lang w:val="en-US"/>
        </w:rPr>
      </w:pPr>
      <w:r w:rsidRPr="00D96442">
        <w:rPr>
          <w:rFonts w:ascii="Times New Roman" w:hAnsi="Times New Roman" w:cs="Times New Roman"/>
          <w:color w:val="000000" w:themeColor="text1"/>
          <w:sz w:val="28"/>
          <w:szCs w:val="28"/>
        </w:rPr>
        <w:t>Бутакова</w:t>
      </w:r>
      <w:r w:rsidRPr="00894187">
        <w:rPr>
          <w:rFonts w:ascii="Times New Roman" w:hAnsi="Times New Roman" w:cs="Times New Roman"/>
          <w:color w:val="000000" w:themeColor="text1"/>
          <w:sz w:val="28"/>
          <w:szCs w:val="28"/>
          <w:lang w:val="en-US"/>
        </w:rPr>
        <w:t xml:space="preserve"> </w:t>
      </w:r>
      <w:r w:rsidRPr="00D96442">
        <w:rPr>
          <w:rFonts w:ascii="Times New Roman" w:hAnsi="Times New Roman" w:cs="Times New Roman"/>
          <w:color w:val="000000" w:themeColor="text1"/>
          <w:sz w:val="28"/>
          <w:szCs w:val="28"/>
        </w:rPr>
        <w:t>Ксения</w:t>
      </w:r>
      <w:r w:rsidRPr="00894187">
        <w:rPr>
          <w:rFonts w:ascii="Times New Roman" w:hAnsi="Times New Roman" w:cs="Times New Roman"/>
          <w:color w:val="000000" w:themeColor="text1"/>
          <w:sz w:val="28"/>
          <w:szCs w:val="28"/>
          <w:lang w:val="en-US"/>
        </w:rPr>
        <w:t xml:space="preserve"> </w:t>
      </w:r>
      <w:r w:rsidRPr="00D96442">
        <w:rPr>
          <w:rFonts w:ascii="Times New Roman" w:hAnsi="Times New Roman" w:cs="Times New Roman"/>
          <w:color w:val="000000" w:themeColor="text1"/>
          <w:sz w:val="28"/>
          <w:szCs w:val="28"/>
        </w:rPr>
        <w:t>Валерьевна</w:t>
      </w:r>
    </w:p>
    <w:p w14:paraId="1EC93D75" w14:textId="77777777" w:rsidR="00894187" w:rsidRPr="00D96442" w:rsidRDefault="00894187" w:rsidP="00894187">
      <w:pPr>
        <w:pStyle w:val="a7"/>
        <w:spacing w:after="0" w:line="240" w:lineRule="auto"/>
        <w:ind w:firstLine="567"/>
        <w:jc w:val="right"/>
        <w:rPr>
          <w:rFonts w:ascii="Times New Roman" w:hAnsi="Times New Roman" w:cs="Times New Roman"/>
          <w:color w:val="000000" w:themeColor="text1"/>
          <w:sz w:val="28"/>
          <w:szCs w:val="28"/>
          <w:lang w:val="en-US"/>
        </w:rPr>
      </w:pPr>
      <w:proofErr w:type="spellStart"/>
      <w:r w:rsidRPr="00D96442">
        <w:rPr>
          <w:rFonts w:ascii="Times New Roman" w:hAnsi="Times New Roman" w:cs="Times New Roman"/>
          <w:color w:val="000000" w:themeColor="text1"/>
          <w:sz w:val="28"/>
          <w:szCs w:val="28"/>
          <w:lang w:val="en-US"/>
        </w:rPr>
        <w:t>Butakova</w:t>
      </w:r>
      <w:proofErr w:type="spellEnd"/>
      <w:r w:rsidRPr="00D96442">
        <w:rPr>
          <w:rFonts w:ascii="Times New Roman" w:hAnsi="Times New Roman" w:cs="Times New Roman"/>
          <w:color w:val="000000" w:themeColor="text1"/>
          <w:sz w:val="28"/>
          <w:szCs w:val="28"/>
          <w:lang w:val="en-US"/>
        </w:rPr>
        <w:t xml:space="preserve"> Xenia </w:t>
      </w:r>
      <w:proofErr w:type="spellStart"/>
      <w:r w:rsidRPr="00D96442">
        <w:rPr>
          <w:rFonts w:ascii="Times New Roman" w:hAnsi="Times New Roman" w:cs="Times New Roman"/>
          <w:color w:val="000000" w:themeColor="text1"/>
          <w:sz w:val="28"/>
          <w:szCs w:val="28"/>
          <w:lang w:val="en-US"/>
        </w:rPr>
        <w:t>Valer’evna</w:t>
      </w:r>
      <w:proofErr w:type="spellEnd"/>
    </w:p>
    <w:p w14:paraId="29477910" w14:textId="77777777" w:rsidR="00894187" w:rsidRDefault="00894187" w:rsidP="00894187">
      <w:pPr>
        <w:jc w:val="right"/>
        <w:rPr>
          <w:sz w:val="28"/>
          <w:szCs w:val="28"/>
        </w:rPr>
      </w:pPr>
      <w:r>
        <w:rPr>
          <w:sz w:val="28"/>
          <w:szCs w:val="28"/>
        </w:rPr>
        <w:t>магистрант</w:t>
      </w:r>
      <w:r w:rsidRPr="00D54CC4">
        <w:rPr>
          <w:sz w:val="28"/>
          <w:szCs w:val="28"/>
        </w:rPr>
        <w:t xml:space="preserve"> </w:t>
      </w:r>
      <w:r w:rsidRPr="00567772">
        <w:rPr>
          <w:sz w:val="28"/>
          <w:szCs w:val="28"/>
        </w:rPr>
        <w:t xml:space="preserve"> </w:t>
      </w:r>
    </w:p>
    <w:p w14:paraId="35FC2032" w14:textId="77777777" w:rsidR="00894187" w:rsidRDefault="00894187" w:rsidP="00894187">
      <w:pPr>
        <w:ind w:firstLine="567"/>
        <w:jc w:val="right"/>
        <w:rPr>
          <w:sz w:val="28"/>
          <w:szCs w:val="28"/>
        </w:rPr>
      </w:pPr>
      <w:r>
        <w:rPr>
          <w:sz w:val="28"/>
          <w:szCs w:val="28"/>
        </w:rPr>
        <w:t xml:space="preserve">ФГБОУ </w:t>
      </w:r>
      <w:proofErr w:type="gramStart"/>
      <w:r>
        <w:rPr>
          <w:sz w:val="28"/>
          <w:szCs w:val="28"/>
        </w:rPr>
        <w:t xml:space="preserve">ВО </w:t>
      </w:r>
      <w:r w:rsidRPr="00567772">
        <w:rPr>
          <w:sz w:val="28"/>
          <w:szCs w:val="28"/>
        </w:rPr>
        <w:t xml:space="preserve"> </w:t>
      </w:r>
      <w:r>
        <w:rPr>
          <w:sz w:val="28"/>
          <w:szCs w:val="28"/>
        </w:rPr>
        <w:t>«</w:t>
      </w:r>
      <w:proofErr w:type="gramEnd"/>
      <w:r w:rsidRPr="00567772">
        <w:rPr>
          <w:sz w:val="28"/>
          <w:szCs w:val="28"/>
        </w:rPr>
        <w:t>Ир</w:t>
      </w:r>
      <w:r>
        <w:rPr>
          <w:sz w:val="28"/>
          <w:szCs w:val="28"/>
        </w:rPr>
        <w:t>кутский государственный университет</w:t>
      </w:r>
    </w:p>
    <w:p w14:paraId="246BFFA6" w14:textId="77777777" w:rsidR="00894187" w:rsidRDefault="00894187" w:rsidP="00894187">
      <w:pPr>
        <w:ind w:firstLine="567"/>
        <w:jc w:val="right"/>
        <w:rPr>
          <w:sz w:val="28"/>
          <w:szCs w:val="28"/>
        </w:rPr>
      </w:pPr>
      <w:r w:rsidRPr="00567772">
        <w:rPr>
          <w:sz w:val="28"/>
          <w:szCs w:val="28"/>
        </w:rPr>
        <w:t xml:space="preserve"> путей сообщения,</w:t>
      </w:r>
      <w:r>
        <w:rPr>
          <w:sz w:val="28"/>
          <w:szCs w:val="28"/>
        </w:rPr>
        <w:t xml:space="preserve"> </w:t>
      </w:r>
      <w:r w:rsidRPr="00567772">
        <w:rPr>
          <w:sz w:val="28"/>
          <w:szCs w:val="28"/>
        </w:rPr>
        <w:t>г. Иркутск,</w:t>
      </w:r>
      <w:r>
        <w:rPr>
          <w:sz w:val="28"/>
          <w:szCs w:val="28"/>
        </w:rPr>
        <w:t xml:space="preserve"> Россия</w:t>
      </w:r>
    </w:p>
    <w:p w14:paraId="5E3B42D8" w14:textId="77777777" w:rsidR="00894187" w:rsidRDefault="00894187" w:rsidP="00894187">
      <w:pPr>
        <w:ind w:firstLine="567"/>
        <w:jc w:val="right"/>
        <w:rPr>
          <w:sz w:val="28"/>
          <w:szCs w:val="28"/>
        </w:rPr>
      </w:pPr>
      <w:r>
        <w:rPr>
          <w:sz w:val="28"/>
          <w:szCs w:val="28"/>
          <w:lang w:val="en-US"/>
        </w:rPr>
        <w:t>Master</w:t>
      </w:r>
      <w:r w:rsidRPr="00D54CC4">
        <w:rPr>
          <w:sz w:val="28"/>
          <w:szCs w:val="28"/>
          <w:lang w:val="en-US"/>
        </w:rPr>
        <w:t>s</w:t>
      </w:r>
      <w:r w:rsidRPr="00894187">
        <w:rPr>
          <w:sz w:val="28"/>
          <w:szCs w:val="28"/>
        </w:rPr>
        <w:t xml:space="preserve"> </w:t>
      </w:r>
      <w:r w:rsidRPr="00D54CC4">
        <w:rPr>
          <w:sz w:val="28"/>
          <w:szCs w:val="28"/>
          <w:lang w:val="en-US"/>
        </w:rPr>
        <w:t>student</w:t>
      </w:r>
    </w:p>
    <w:p w14:paraId="22803382" w14:textId="77777777" w:rsidR="00894187" w:rsidRPr="00894187" w:rsidRDefault="00894187" w:rsidP="00894187">
      <w:pPr>
        <w:ind w:firstLine="567"/>
        <w:jc w:val="right"/>
        <w:rPr>
          <w:sz w:val="28"/>
          <w:szCs w:val="28"/>
          <w:lang w:val="en-US"/>
        </w:rPr>
      </w:pPr>
      <w:r w:rsidRPr="00F233A8">
        <w:rPr>
          <w:sz w:val="28"/>
          <w:szCs w:val="28"/>
          <w:lang w:val="en-US"/>
        </w:rPr>
        <w:t xml:space="preserve">Irkutsk State Transport University, Irkutsk </w:t>
      </w:r>
      <w:proofErr w:type="spellStart"/>
      <w:r w:rsidRPr="00F233A8">
        <w:rPr>
          <w:sz w:val="28"/>
          <w:szCs w:val="28"/>
          <w:lang w:val="en-US"/>
        </w:rPr>
        <w:t>Irkutsk</w:t>
      </w:r>
      <w:proofErr w:type="spellEnd"/>
      <w:r w:rsidRPr="00F233A8">
        <w:rPr>
          <w:sz w:val="28"/>
          <w:szCs w:val="28"/>
          <w:lang w:val="en-US"/>
        </w:rPr>
        <w:t>, Russian Federation</w:t>
      </w:r>
    </w:p>
    <w:p w14:paraId="2B44D04E" w14:textId="77777777" w:rsidR="00894187" w:rsidRPr="00894187" w:rsidRDefault="00894187" w:rsidP="00894187">
      <w:pPr>
        <w:pStyle w:val="a7"/>
        <w:spacing w:after="0" w:line="240" w:lineRule="auto"/>
        <w:ind w:firstLine="567"/>
        <w:jc w:val="right"/>
        <w:rPr>
          <w:rFonts w:ascii="Times New Roman" w:hAnsi="Times New Roman" w:cs="Times New Roman"/>
          <w:color w:val="000000" w:themeColor="text1"/>
          <w:sz w:val="28"/>
          <w:szCs w:val="28"/>
          <w:lang w:val="en-US"/>
        </w:rPr>
      </w:pPr>
      <w:r>
        <w:rPr>
          <w:sz w:val="28"/>
          <w:szCs w:val="28"/>
        </w:rPr>
        <w:t>Тел</w:t>
      </w:r>
      <w:r w:rsidRPr="00201252">
        <w:rPr>
          <w:sz w:val="28"/>
          <w:szCs w:val="28"/>
          <w:lang w:val="en-US"/>
        </w:rPr>
        <w:t xml:space="preserve">: </w:t>
      </w:r>
      <w:r w:rsidRPr="00894187">
        <w:rPr>
          <w:rFonts w:ascii="Times New Roman" w:hAnsi="Times New Roman" w:cs="Times New Roman"/>
          <w:color w:val="000000" w:themeColor="text1"/>
          <w:sz w:val="28"/>
          <w:szCs w:val="28"/>
          <w:lang w:val="en-US"/>
        </w:rPr>
        <w:t>8 (904) 113-02-16</w:t>
      </w:r>
      <w:r w:rsidRPr="00201252">
        <w:rPr>
          <w:sz w:val="28"/>
          <w:szCs w:val="28"/>
          <w:lang w:val="en-US"/>
        </w:rPr>
        <w:t xml:space="preserve">  </w:t>
      </w:r>
    </w:p>
    <w:p w14:paraId="09F7FE28" w14:textId="77777777" w:rsidR="00894187" w:rsidRPr="00894187" w:rsidRDefault="00894187" w:rsidP="00894187">
      <w:pPr>
        <w:pStyle w:val="a7"/>
        <w:spacing w:after="0" w:line="240" w:lineRule="auto"/>
        <w:ind w:firstLine="567"/>
        <w:jc w:val="right"/>
        <w:rPr>
          <w:rFonts w:ascii="Times New Roman" w:hAnsi="Times New Roman" w:cs="Times New Roman"/>
          <w:color w:val="000000" w:themeColor="text1"/>
          <w:sz w:val="28"/>
          <w:szCs w:val="28"/>
          <w:lang w:val="en-US"/>
        </w:rPr>
      </w:pPr>
      <w:r w:rsidRPr="00E04E9E">
        <w:rPr>
          <w:sz w:val="28"/>
          <w:szCs w:val="28"/>
          <w:lang w:val="en-US"/>
        </w:rPr>
        <w:t>e</w:t>
      </w:r>
      <w:r w:rsidRPr="00201252">
        <w:rPr>
          <w:sz w:val="28"/>
          <w:szCs w:val="28"/>
          <w:lang w:val="en-US"/>
        </w:rPr>
        <w:t>-</w:t>
      </w:r>
      <w:r w:rsidRPr="00E04E9E">
        <w:rPr>
          <w:sz w:val="28"/>
          <w:szCs w:val="28"/>
          <w:lang w:val="en-US"/>
        </w:rPr>
        <w:t>mail</w:t>
      </w:r>
      <w:r w:rsidRPr="00201252">
        <w:rPr>
          <w:sz w:val="28"/>
          <w:szCs w:val="28"/>
          <w:lang w:val="en-US"/>
        </w:rPr>
        <w:t xml:space="preserve">: </w:t>
      </w:r>
      <w:hyperlink r:id="rId7" w:history="1">
        <w:r w:rsidRPr="00894187">
          <w:rPr>
            <w:rStyle w:val="a4"/>
            <w:rFonts w:ascii="Times New Roman" w:hAnsi="Times New Roman" w:cs="Times New Roman"/>
            <w:color w:val="000000" w:themeColor="text1"/>
            <w:sz w:val="28"/>
            <w:szCs w:val="28"/>
            <w:u w:val="none"/>
            <w:lang w:val="en-US"/>
          </w:rPr>
          <w:t>butakovaksenia97@mail.ru</w:t>
        </w:r>
      </w:hyperlink>
    </w:p>
    <w:p w14:paraId="09DDF264" w14:textId="77777777" w:rsidR="00894187" w:rsidRDefault="00894187" w:rsidP="00894187">
      <w:pPr>
        <w:jc w:val="right"/>
        <w:rPr>
          <w:color w:val="000000" w:themeColor="text1"/>
          <w:sz w:val="28"/>
          <w:szCs w:val="28"/>
          <w:lang w:val="en-US"/>
        </w:rPr>
      </w:pPr>
    </w:p>
    <w:p w14:paraId="22A8A01A" w14:textId="77777777" w:rsidR="00894187" w:rsidRDefault="00894187" w:rsidP="00AB7726">
      <w:pPr>
        <w:pStyle w:val="a7"/>
        <w:spacing w:after="0" w:line="240" w:lineRule="auto"/>
        <w:ind w:firstLine="567"/>
        <w:jc w:val="right"/>
        <w:rPr>
          <w:rFonts w:ascii="Times New Roman" w:hAnsi="Times New Roman" w:cs="Times New Roman"/>
          <w:color w:val="000000" w:themeColor="text1"/>
          <w:sz w:val="28"/>
          <w:szCs w:val="28"/>
          <w:lang w:val="en-US"/>
        </w:rPr>
      </w:pPr>
    </w:p>
    <w:p w14:paraId="3A12BAA5" w14:textId="77777777" w:rsidR="00DD51A9" w:rsidRPr="0042332E" w:rsidRDefault="00894187" w:rsidP="00AB7726">
      <w:pPr>
        <w:ind w:firstLine="567"/>
        <w:jc w:val="center"/>
        <w:rPr>
          <w:b/>
          <w:sz w:val="28"/>
          <w:szCs w:val="28"/>
        </w:rPr>
      </w:pPr>
      <w:r>
        <w:rPr>
          <w:b/>
          <w:sz w:val="28"/>
          <w:szCs w:val="28"/>
        </w:rPr>
        <w:t xml:space="preserve">Анализ и </w:t>
      </w:r>
      <w:r w:rsidRPr="00012C8C">
        <w:rPr>
          <w:b/>
          <w:sz w:val="28"/>
          <w:szCs w:val="28"/>
        </w:rPr>
        <w:t>порядок возврат</w:t>
      </w:r>
      <w:r>
        <w:rPr>
          <w:b/>
          <w:sz w:val="28"/>
          <w:szCs w:val="28"/>
        </w:rPr>
        <w:t>а</w:t>
      </w:r>
      <w:r w:rsidR="00012C8C" w:rsidRPr="00012C8C">
        <w:rPr>
          <w:b/>
          <w:sz w:val="28"/>
          <w:szCs w:val="28"/>
        </w:rPr>
        <w:t xml:space="preserve"> </w:t>
      </w:r>
      <w:r w:rsidRPr="00012C8C">
        <w:rPr>
          <w:rStyle w:val="blk"/>
          <w:b/>
          <w:sz w:val="28"/>
          <w:szCs w:val="28"/>
        </w:rPr>
        <w:t>плательщикам излишне уплаченных (взысканных) сумм</w:t>
      </w:r>
      <w:r>
        <w:rPr>
          <w:rStyle w:val="blk"/>
          <w:b/>
          <w:sz w:val="28"/>
          <w:szCs w:val="28"/>
        </w:rPr>
        <w:t>, поступивших на счет</w:t>
      </w:r>
      <w:r w:rsidR="00CE6B0F">
        <w:rPr>
          <w:rStyle w:val="blk"/>
          <w:b/>
          <w:sz w:val="28"/>
          <w:szCs w:val="28"/>
        </w:rPr>
        <w:t xml:space="preserve"> </w:t>
      </w:r>
      <w:r w:rsidR="001A27B4">
        <w:rPr>
          <w:rStyle w:val="blk"/>
          <w:b/>
          <w:sz w:val="28"/>
          <w:szCs w:val="28"/>
        </w:rPr>
        <w:t xml:space="preserve">№ 03100 </w:t>
      </w:r>
      <w:r>
        <w:rPr>
          <w:rStyle w:val="blk"/>
          <w:b/>
          <w:sz w:val="28"/>
          <w:szCs w:val="28"/>
        </w:rPr>
        <w:t>в</w:t>
      </w:r>
      <w:r w:rsidR="001A27B4">
        <w:rPr>
          <w:rStyle w:val="blk"/>
          <w:b/>
          <w:sz w:val="28"/>
          <w:szCs w:val="28"/>
        </w:rPr>
        <w:t xml:space="preserve"> </w:t>
      </w:r>
      <w:r>
        <w:rPr>
          <w:rStyle w:val="blk"/>
          <w:b/>
          <w:sz w:val="28"/>
          <w:szCs w:val="28"/>
        </w:rPr>
        <w:t>органах</w:t>
      </w:r>
      <w:r w:rsidR="0042332E">
        <w:rPr>
          <w:rStyle w:val="blk"/>
          <w:b/>
          <w:sz w:val="28"/>
          <w:szCs w:val="28"/>
        </w:rPr>
        <w:t xml:space="preserve"> </w:t>
      </w:r>
      <w:r w:rsidRPr="00452DE3">
        <w:rPr>
          <w:b/>
          <w:sz w:val="28"/>
          <w:szCs w:val="28"/>
        </w:rPr>
        <w:t>федерального</w:t>
      </w:r>
      <w:r w:rsidR="00452DE3" w:rsidRPr="0042332E">
        <w:rPr>
          <w:b/>
          <w:sz w:val="28"/>
          <w:szCs w:val="28"/>
        </w:rPr>
        <w:t xml:space="preserve"> </w:t>
      </w:r>
      <w:r w:rsidRPr="00452DE3">
        <w:rPr>
          <w:b/>
          <w:sz w:val="28"/>
          <w:szCs w:val="28"/>
        </w:rPr>
        <w:t>казначейства</w:t>
      </w:r>
    </w:p>
    <w:bookmarkEnd w:id="0"/>
    <w:p w14:paraId="7B8F246E" w14:textId="77777777" w:rsidR="0045024B" w:rsidRPr="00894187" w:rsidRDefault="0045024B" w:rsidP="00894187">
      <w:pPr>
        <w:spacing w:line="360" w:lineRule="auto"/>
        <w:rPr>
          <w:sz w:val="28"/>
          <w:szCs w:val="28"/>
          <w:lang w:val="en-US"/>
        </w:rPr>
      </w:pPr>
    </w:p>
    <w:p w14:paraId="3D757DA8" w14:textId="77777777" w:rsidR="00FC4A0E" w:rsidRDefault="00FC4A0E" w:rsidP="00AB7726">
      <w:pPr>
        <w:pStyle w:val="a7"/>
        <w:spacing w:after="0" w:line="240" w:lineRule="auto"/>
        <w:ind w:firstLine="567"/>
        <w:jc w:val="both"/>
        <w:rPr>
          <w:rFonts w:ascii="Times New Roman" w:hAnsi="Times New Roman" w:cs="Times New Roman"/>
          <w:color w:val="000000" w:themeColor="text1"/>
          <w:sz w:val="28"/>
          <w:szCs w:val="28"/>
        </w:rPr>
      </w:pPr>
      <w:r w:rsidRPr="00CC35F7">
        <w:rPr>
          <w:rFonts w:ascii="Times New Roman" w:hAnsi="Times New Roman" w:cs="Times New Roman"/>
          <w:b/>
          <w:color w:val="000000" w:themeColor="text1"/>
          <w:sz w:val="28"/>
          <w:szCs w:val="28"/>
        </w:rPr>
        <w:t>Аннотация:</w:t>
      </w:r>
      <w:r w:rsidRPr="001C3289">
        <w:rPr>
          <w:rFonts w:ascii="Times New Roman" w:hAnsi="Times New Roman" w:cs="Times New Roman"/>
          <w:color w:val="000000" w:themeColor="text1"/>
          <w:sz w:val="28"/>
          <w:szCs w:val="28"/>
        </w:rPr>
        <w:t xml:space="preserve"> </w:t>
      </w:r>
      <w:r w:rsidRPr="004C62D2">
        <w:rPr>
          <w:rFonts w:ascii="Times New Roman" w:hAnsi="Times New Roman" w:cs="Times New Roman"/>
          <w:color w:val="000000" w:themeColor="text1"/>
          <w:sz w:val="28"/>
          <w:szCs w:val="28"/>
        </w:rPr>
        <w:t xml:space="preserve">в статье рассматривается порядок возврата </w:t>
      </w:r>
      <w:r w:rsidR="009D4D7C" w:rsidRPr="004C62D2">
        <w:rPr>
          <w:rStyle w:val="blk"/>
          <w:rFonts w:ascii="Times New Roman" w:hAnsi="Times New Roman" w:cs="Times New Roman"/>
          <w:color w:val="000000" w:themeColor="text1"/>
          <w:sz w:val="28"/>
          <w:szCs w:val="28"/>
        </w:rPr>
        <w:t>плательщикам излишне уплаченных (взысканных) сумм, подлежащих возмещению сумм, а также сумм процентов за несвоевременное осуществление возврата и сумм процентов, начисленных на излишне взысканные суммы</w:t>
      </w:r>
      <w:r w:rsidRPr="004C62D2">
        <w:rPr>
          <w:rFonts w:ascii="Times New Roman" w:hAnsi="Times New Roman" w:cs="Times New Roman"/>
          <w:color w:val="000000" w:themeColor="text1"/>
          <w:sz w:val="28"/>
          <w:szCs w:val="28"/>
        </w:rPr>
        <w:t xml:space="preserve">, который </w:t>
      </w:r>
      <w:r w:rsidR="003E2A78" w:rsidRPr="004C62D2">
        <w:rPr>
          <w:rFonts w:ascii="Times New Roman" w:hAnsi="Times New Roman" w:cs="Times New Roman"/>
          <w:color w:val="000000" w:themeColor="text1"/>
          <w:sz w:val="28"/>
          <w:szCs w:val="28"/>
        </w:rPr>
        <w:t xml:space="preserve">осуществляется органами </w:t>
      </w:r>
      <w:r w:rsidRPr="004C62D2">
        <w:rPr>
          <w:rFonts w:ascii="Times New Roman" w:hAnsi="Times New Roman" w:cs="Times New Roman"/>
          <w:color w:val="000000" w:themeColor="text1"/>
          <w:sz w:val="28"/>
          <w:szCs w:val="28"/>
        </w:rPr>
        <w:t>Федерального казначейства</w:t>
      </w:r>
      <w:r w:rsidR="003E2A78" w:rsidRPr="004C62D2">
        <w:rPr>
          <w:rFonts w:ascii="Times New Roman" w:hAnsi="Times New Roman" w:cs="Times New Roman"/>
          <w:color w:val="000000" w:themeColor="text1"/>
          <w:sz w:val="28"/>
          <w:szCs w:val="28"/>
        </w:rPr>
        <w:t xml:space="preserve">. </w:t>
      </w:r>
      <w:r w:rsidRPr="004C62D2">
        <w:rPr>
          <w:rFonts w:ascii="Times New Roman" w:hAnsi="Times New Roman" w:cs="Times New Roman"/>
          <w:color w:val="000000" w:themeColor="text1"/>
          <w:sz w:val="28"/>
          <w:szCs w:val="28"/>
        </w:rPr>
        <w:t>В частности, на примере Управления Федерального казначейства по Иркутской области.</w:t>
      </w:r>
    </w:p>
    <w:p w14:paraId="5F626CDF" w14:textId="77777777" w:rsidR="0045024B" w:rsidRPr="005311D0" w:rsidRDefault="0045024B" w:rsidP="00AB7726">
      <w:pPr>
        <w:pStyle w:val="a7"/>
        <w:spacing w:after="0" w:line="240" w:lineRule="auto"/>
        <w:ind w:firstLine="567"/>
        <w:jc w:val="both"/>
        <w:rPr>
          <w:rFonts w:ascii="Times New Roman" w:hAnsi="Times New Roman" w:cs="Times New Roman"/>
          <w:color w:val="000000" w:themeColor="text1"/>
          <w:sz w:val="28"/>
          <w:szCs w:val="28"/>
        </w:rPr>
      </w:pPr>
    </w:p>
    <w:p w14:paraId="5DF794DB" w14:textId="77777777" w:rsidR="0045024B" w:rsidRDefault="00FC4A0E" w:rsidP="00AB7726">
      <w:pPr>
        <w:pStyle w:val="a7"/>
        <w:spacing w:after="0" w:line="240" w:lineRule="auto"/>
        <w:ind w:firstLine="567"/>
        <w:jc w:val="both"/>
        <w:rPr>
          <w:rFonts w:ascii="Times New Roman" w:hAnsi="Times New Roman" w:cs="Times New Roman"/>
          <w:color w:val="000000" w:themeColor="text1"/>
          <w:sz w:val="28"/>
          <w:szCs w:val="28"/>
          <w:lang w:val="en-US"/>
        </w:rPr>
      </w:pPr>
      <w:r w:rsidRPr="00CC35F7">
        <w:rPr>
          <w:rFonts w:ascii="Times New Roman" w:hAnsi="Times New Roman" w:cs="Times New Roman"/>
          <w:b/>
          <w:color w:val="000000" w:themeColor="text1"/>
          <w:sz w:val="28"/>
          <w:szCs w:val="28"/>
          <w:lang w:val="en-US"/>
        </w:rPr>
        <w:t>Abstract:</w:t>
      </w:r>
      <w:r w:rsidRPr="003D3824">
        <w:rPr>
          <w:rFonts w:ascii="Times New Roman" w:hAnsi="Times New Roman" w:cs="Times New Roman"/>
          <w:color w:val="000000" w:themeColor="text1"/>
          <w:sz w:val="28"/>
          <w:szCs w:val="28"/>
          <w:lang w:val="en-US"/>
        </w:rPr>
        <w:t xml:space="preserve"> </w:t>
      </w:r>
      <w:r w:rsidR="004C62D2" w:rsidRPr="004C62D2">
        <w:rPr>
          <w:rFonts w:ascii="Times New Roman" w:hAnsi="Times New Roman" w:cs="Times New Roman"/>
          <w:color w:val="000000" w:themeColor="text1"/>
          <w:sz w:val="28"/>
          <w:szCs w:val="28"/>
          <w:lang w:val="en-US"/>
        </w:rPr>
        <w:t xml:space="preserve">the article discusses the procedure for returning to payers excessively paid (recovered) amounts, amounts to be reimbursed, as well as the amounts of interest for late repayment and the amounts of interest accrued on excessively recovered amounts, which is carried out by the bodies of the Federal Treasury. </w:t>
      </w:r>
      <w:r w:rsidRPr="001C3289">
        <w:rPr>
          <w:rFonts w:ascii="Times New Roman" w:hAnsi="Times New Roman" w:cs="Times New Roman"/>
          <w:color w:val="000000" w:themeColor="text1"/>
          <w:sz w:val="28"/>
          <w:szCs w:val="28"/>
          <w:lang w:val="en-US"/>
        </w:rPr>
        <w:t>In particular, the example of the Federal Treasury Department in the Irkutsk region.</w:t>
      </w:r>
    </w:p>
    <w:p w14:paraId="7E167A55" w14:textId="77777777" w:rsidR="001C3289" w:rsidRPr="00001B8E" w:rsidRDefault="00FC4A0E" w:rsidP="00AB7726">
      <w:pPr>
        <w:pStyle w:val="a7"/>
        <w:spacing w:after="0" w:line="240" w:lineRule="auto"/>
        <w:ind w:firstLine="567"/>
        <w:jc w:val="both"/>
        <w:rPr>
          <w:rFonts w:ascii="Times New Roman" w:hAnsi="Times New Roman" w:cs="Times New Roman"/>
          <w:color w:val="000000" w:themeColor="text1"/>
          <w:sz w:val="28"/>
          <w:szCs w:val="28"/>
          <w:lang w:val="en-US"/>
        </w:rPr>
      </w:pPr>
      <w:r w:rsidRPr="001C3289">
        <w:rPr>
          <w:rFonts w:ascii="Times New Roman" w:hAnsi="Times New Roman" w:cs="Times New Roman"/>
          <w:color w:val="000000" w:themeColor="text1"/>
          <w:sz w:val="28"/>
          <w:szCs w:val="28"/>
          <w:lang w:val="en-US"/>
        </w:rPr>
        <w:t xml:space="preserve"> </w:t>
      </w:r>
    </w:p>
    <w:p w14:paraId="3F601AD8" w14:textId="77777777" w:rsidR="005311D0" w:rsidRDefault="001C3289" w:rsidP="00AB7726">
      <w:pPr>
        <w:pStyle w:val="a7"/>
        <w:spacing w:after="0" w:line="240" w:lineRule="auto"/>
        <w:ind w:firstLine="567"/>
        <w:jc w:val="both"/>
        <w:rPr>
          <w:rFonts w:ascii="Times New Roman" w:hAnsi="Times New Roman" w:cs="Times New Roman"/>
          <w:color w:val="000000" w:themeColor="text1"/>
          <w:sz w:val="28"/>
          <w:szCs w:val="28"/>
        </w:rPr>
      </w:pPr>
      <w:r w:rsidRPr="00CC35F7">
        <w:rPr>
          <w:rFonts w:ascii="Times New Roman" w:hAnsi="Times New Roman" w:cs="Times New Roman"/>
          <w:b/>
          <w:color w:val="000000" w:themeColor="text1"/>
          <w:sz w:val="28"/>
          <w:szCs w:val="28"/>
        </w:rPr>
        <w:t>Ключевые слова:</w:t>
      </w:r>
      <w:r w:rsidR="00114608">
        <w:rPr>
          <w:rFonts w:ascii="Times New Roman" w:hAnsi="Times New Roman" w:cs="Times New Roman"/>
          <w:b/>
          <w:color w:val="000000" w:themeColor="text1"/>
          <w:sz w:val="28"/>
          <w:szCs w:val="28"/>
        </w:rPr>
        <w:t xml:space="preserve"> </w:t>
      </w:r>
      <w:r w:rsidR="003A024C" w:rsidRPr="003A024C">
        <w:rPr>
          <w:rFonts w:ascii="Times New Roman" w:hAnsi="Times New Roman" w:cs="Times New Roman"/>
          <w:color w:val="000000" w:themeColor="text1"/>
          <w:sz w:val="28"/>
          <w:szCs w:val="28"/>
        </w:rPr>
        <w:t>доходы бюджета,</w:t>
      </w:r>
      <w:r w:rsidR="00114608">
        <w:rPr>
          <w:rFonts w:ascii="Times New Roman" w:hAnsi="Times New Roman" w:cs="Times New Roman"/>
          <w:color w:val="000000" w:themeColor="text1"/>
          <w:sz w:val="28"/>
          <w:szCs w:val="28"/>
        </w:rPr>
        <w:t xml:space="preserve"> </w:t>
      </w:r>
      <w:r w:rsidR="00BA744C">
        <w:rPr>
          <w:rFonts w:ascii="Times New Roman" w:hAnsi="Times New Roman" w:cs="Times New Roman"/>
          <w:color w:val="000000" w:themeColor="text1"/>
          <w:sz w:val="28"/>
          <w:szCs w:val="28"/>
        </w:rPr>
        <w:t>порядок возврата</w:t>
      </w:r>
      <w:r w:rsidR="00114608">
        <w:rPr>
          <w:rFonts w:ascii="Times New Roman" w:hAnsi="Times New Roman" w:cs="Times New Roman"/>
          <w:color w:val="000000" w:themeColor="text1"/>
          <w:sz w:val="28"/>
          <w:szCs w:val="28"/>
        </w:rPr>
        <w:t xml:space="preserve">, </w:t>
      </w:r>
      <w:r w:rsidR="000A3D2F">
        <w:rPr>
          <w:rFonts w:ascii="Times New Roman" w:hAnsi="Times New Roman" w:cs="Times New Roman"/>
          <w:color w:val="000000" w:themeColor="text1"/>
          <w:sz w:val="28"/>
          <w:szCs w:val="28"/>
        </w:rPr>
        <w:t xml:space="preserve">анализ, </w:t>
      </w:r>
      <w:r w:rsidR="00114608">
        <w:rPr>
          <w:rFonts w:ascii="Times New Roman" w:hAnsi="Times New Roman" w:cs="Times New Roman"/>
          <w:color w:val="000000" w:themeColor="text1"/>
          <w:sz w:val="28"/>
          <w:szCs w:val="28"/>
        </w:rPr>
        <w:t>администраторы дохода бюджета</w:t>
      </w:r>
    </w:p>
    <w:p w14:paraId="64F2B5FF" w14:textId="77777777" w:rsidR="0045024B" w:rsidRPr="008F2E1B" w:rsidRDefault="0045024B" w:rsidP="00AB7726">
      <w:pPr>
        <w:pStyle w:val="a7"/>
        <w:spacing w:after="0" w:line="240" w:lineRule="auto"/>
        <w:ind w:firstLine="567"/>
        <w:jc w:val="both"/>
        <w:rPr>
          <w:rFonts w:ascii="Times New Roman" w:hAnsi="Times New Roman" w:cs="Times New Roman"/>
          <w:color w:val="000000" w:themeColor="text1"/>
          <w:sz w:val="28"/>
          <w:szCs w:val="28"/>
        </w:rPr>
      </w:pPr>
    </w:p>
    <w:p w14:paraId="4E3CD632" w14:textId="77777777" w:rsidR="005311D0" w:rsidRDefault="005311D0" w:rsidP="00AB7726">
      <w:pPr>
        <w:pStyle w:val="a7"/>
        <w:spacing w:after="0" w:line="240" w:lineRule="auto"/>
        <w:ind w:firstLine="567"/>
        <w:jc w:val="both"/>
        <w:rPr>
          <w:rFonts w:ascii="Times New Roman" w:hAnsi="Times New Roman" w:cs="Times New Roman"/>
          <w:color w:val="000000" w:themeColor="text1"/>
          <w:sz w:val="28"/>
          <w:szCs w:val="28"/>
          <w:lang w:val="en-US"/>
        </w:rPr>
      </w:pPr>
      <w:r w:rsidRPr="00CC35F7">
        <w:rPr>
          <w:rFonts w:ascii="Times New Roman" w:hAnsi="Times New Roman" w:cs="Times New Roman"/>
          <w:b/>
          <w:color w:val="000000" w:themeColor="text1"/>
          <w:sz w:val="28"/>
          <w:szCs w:val="28"/>
          <w:lang w:val="en-US"/>
        </w:rPr>
        <w:t>Keywords:</w:t>
      </w:r>
      <w:r w:rsidRPr="003D3824">
        <w:rPr>
          <w:rFonts w:ascii="Times New Roman" w:hAnsi="Times New Roman" w:cs="Times New Roman"/>
          <w:color w:val="000000" w:themeColor="text1"/>
          <w:sz w:val="28"/>
          <w:szCs w:val="28"/>
          <w:lang w:val="en-US"/>
        </w:rPr>
        <w:t xml:space="preserve"> </w:t>
      </w:r>
      <w:r w:rsidR="003A024C" w:rsidRPr="003A024C">
        <w:rPr>
          <w:rFonts w:ascii="Times New Roman" w:hAnsi="Times New Roman" w:cs="Times New Roman"/>
          <w:color w:val="000000" w:themeColor="text1"/>
          <w:sz w:val="28"/>
          <w:szCs w:val="28"/>
          <w:lang w:val="en-US"/>
        </w:rPr>
        <w:t xml:space="preserve">budget revenue, refund </w:t>
      </w:r>
      <w:r w:rsidR="000A3D2F">
        <w:rPr>
          <w:rFonts w:ascii="Times New Roman" w:hAnsi="Times New Roman" w:cs="Times New Roman"/>
          <w:color w:val="000000" w:themeColor="text1"/>
          <w:sz w:val="28"/>
          <w:szCs w:val="28"/>
          <w:lang w:val="en-US"/>
        </w:rPr>
        <w:t>procedure,</w:t>
      </w:r>
      <w:r w:rsidR="000A3D2F" w:rsidRPr="000A3D2F">
        <w:rPr>
          <w:rFonts w:ascii="Times New Roman" w:hAnsi="Times New Roman" w:cs="Times New Roman"/>
          <w:color w:val="000000" w:themeColor="text1"/>
          <w:sz w:val="28"/>
          <w:szCs w:val="28"/>
          <w:lang w:val="en-US"/>
        </w:rPr>
        <w:t xml:space="preserve"> </w:t>
      </w:r>
      <w:r w:rsidR="000A3D2F">
        <w:rPr>
          <w:rFonts w:ascii="Times New Roman" w:hAnsi="Times New Roman" w:cs="Times New Roman"/>
          <w:color w:val="000000" w:themeColor="text1"/>
          <w:sz w:val="28"/>
          <w:szCs w:val="28"/>
          <w:lang w:val="en-US"/>
        </w:rPr>
        <w:t>analysis</w:t>
      </w:r>
      <w:r w:rsidR="000A3D2F" w:rsidRPr="000A3D2F">
        <w:rPr>
          <w:rFonts w:ascii="Times New Roman" w:hAnsi="Times New Roman" w:cs="Times New Roman"/>
          <w:color w:val="000000" w:themeColor="text1"/>
          <w:sz w:val="28"/>
          <w:szCs w:val="28"/>
          <w:lang w:val="en-US"/>
        </w:rPr>
        <w:t xml:space="preserve">, </w:t>
      </w:r>
      <w:r w:rsidR="003A024C" w:rsidRPr="003A024C">
        <w:rPr>
          <w:rFonts w:ascii="Times New Roman" w:hAnsi="Times New Roman" w:cs="Times New Roman"/>
          <w:color w:val="000000" w:themeColor="text1"/>
          <w:sz w:val="28"/>
          <w:szCs w:val="28"/>
          <w:lang w:val="en-US"/>
        </w:rPr>
        <w:t>budget revenue administrators</w:t>
      </w:r>
    </w:p>
    <w:p w14:paraId="0EF21ED9" w14:textId="77777777" w:rsidR="00894187" w:rsidRDefault="00894187" w:rsidP="0078037A">
      <w:pPr>
        <w:autoSpaceDE w:val="0"/>
        <w:autoSpaceDN w:val="0"/>
        <w:adjustRightInd w:val="0"/>
        <w:ind w:firstLine="567"/>
        <w:jc w:val="both"/>
        <w:rPr>
          <w:b/>
          <w:color w:val="000000"/>
          <w:sz w:val="28"/>
          <w:szCs w:val="28"/>
          <w:shd w:val="clear" w:color="auto" w:fill="FFFFFF"/>
          <w:lang w:val="en-US"/>
        </w:rPr>
      </w:pPr>
    </w:p>
    <w:p w14:paraId="799626C5" w14:textId="77777777" w:rsidR="00894187" w:rsidRDefault="00894187" w:rsidP="0078037A">
      <w:pPr>
        <w:autoSpaceDE w:val="0"/>
        <w:autoSpaceDN w:val="0"/>
        <w:adjustRightInd w:val="0"/>
        <w:ind w:firstLine="567"/>
        <w:jc w:val="both"/>
        <w:rPr>
          <w:b/>
          <w:color w:val="000000"/>
          <w:sz w:val="28"/>
          <w:szCs w:val="28"/>
          <w:shd w:val="clear" w:color="auto" w:fill="FFFFFF"/>
          <w:lang w:val="en-US"/>
        </w:rPr>
      </w:pPr>
    </w:p>
    <w:p w14:paraId="105A5FC3" w14:textId="77777777" w:rsidR="00D01A1E" w:rsidRPr="00894187" w:rsidRDefault="0032788A" w:rsidP="00894187">
      <w:pPr>
        <w:autoSpaceDE w:val="0"/>
        <w:autoSpaceDN w:val="0"/>
        <w:adjustRightInd w:val="0"/>
        <w:ind w:firstLine="567"/>
        <w:jc w:val="both"/>
        <w:rPr>
          <w:b/>
          <w:color w:val="000000"/>
          <w:sz w:val="28"/>
          <w:szCs w:val="28"/>
          <w:shd w:val="clear" w:color="auto" w:fill="FFFFFF"/>
          <w:lang w:val="en-US"/>
        </w:rPr>
      </w:pPr>
      <w:r w:rsidRPr="0032788A">
        <w:rPr>
          <w:b/>
          <w:color w:val="000000"/>
          <w:sz w:val="28"/>
          <w:szCs w:val="28"/>
          <w:shd w:val="clear" w:color="auto" w:fill="FFFFFF"/>
        </w:rPr>
        <w:lastRenderedPageBreak/>
        <w:t>Введение</w:t>
      </w:r>
    </w:p>
    <w:p w14:paraId="7618699E" w14:textId="77777777" w:rsidR="00D01A1E" w:rsidRPr="00D01A1E" w:rsidRDefault="00D01A1E" w:rsidP="00D01A1E">
      <w:pPr>
        <w:autoSpaceDE w:val="0"/>
        <w:autoSpaceDN w:val="0"/>
        <w:adjustRightInd w:val="0"/>
        <w:ind w:firstLine="567"/>
        <w:jc w:val="both"/>
        <w:rPr>
          <w:color w:val="000000"/>
          <w:sz w:val="28"/>
          <w:szCs w:val="28"/>
          <w:shd w:val="clear" w:color="auto" w:fill="FFFFFF"/>
        </w:rPr>
      </w:pPr>
      <w:r w:rsidRPr="00D01A1E">
        <w:rPr>
          <w:color w:val="000000"/>
          <w:sz w:val="28"/>
          <w:szCs w:val="28"/>
          <w:shd w:val="clear" w:color="auto" w:fill="FFFFFF"/>
        </w:rPr>
        <w:t>Учет и распределение поступлений между бюджетами осуществляется органами Федерального казначейства на основании следующих документов:</w:t>
      </w:r>
      <w:r w:rsidR="00FE0323">
        <w:rPr>
          <w:color w:val="000000"/>
          <w:sz w:val="28"/>
          <w:szCs w:val="28"/>
          <w:shd w:val="clear" w:color="auto" w:fill="FFFFFF"/>
        </w:rPr>
        <w:t xml:space="preserve"> </w:t>
      </w:r>
    </w:p>
    <w:p w14:paraId="2198D1EE" w14:textId="77777777" w:rsidR="00D01A1E" w:rsidRPr="00D01A1E" w:rsidRDefault="00FE0323" w:rsidP="00D01A1E">
      <w:pPr>
        <w:autoSpaceDE w:val="0"/>
        <w:autoSpaceDN w:val="0"/>
        <w:adjustRightInd w:val="0"/>
        <w:ind w:firstLine="567"/>
        <w:jc w:val="both"/>
        <w:rPr>
          <w:color w:val="000000"/>
          <w:sz w:val="28"/>
          <w:szCs w:val="28"/>
          <w:shd w:val="clear" w:color="auto" w:fill="FFFFFF"/>
        </w:rPr>
      </w:pPr>
      <w:r>
        <w:rPr>
          <w:color w:val="000000"/>
          <w:sz w:val="28"/>
          <w:szCs w:val="28"/>
          <w:shd w:val="clear" w:color="auto" w:fill="FFFFFF"/>
        </w:rPr>
        <w:t xml:space="preserve">- </w:t>
      </w:r>
      <w:r w:rsidR="00D01A1E" w:rsidRPr="00D01A1E">
        <w:rPr>
          <w:color w:val="000000"/>
          <w:sz w:val="28"/>
          <w:szCs w:val="28"/>
          <w:shd w:val="clear" w:color="auto" w:fill="FFFFFF"/>
        </w:rPr>
        <w:t>распоряжений по поступлениям, зачисленным на счет органа Федерального казначейства, распоряжений по списаниям денежных средств со счета органа Федерального казначейства, выписки по счету органа Федерального казначейства в электронном виде (на бумажном носителе);</w:t>
      </w:r>
    </w:p>
    <w:p w14:paraId="7EBA50ED" w14:textId="77777777" w:rsidR="00D01A1E" w:rsidRPr="00D01A1E" w:rsidRDefault="00FE0323" w:rsidP="00D01A1E">
      <w:pPr>
        <w:autoSpaceDE w:val="0"/>
        <w:autoSpaceDN w:val="0"/>
        <w:adjustRightInd w:val="0"/>
        <w:ind w:firstLine="567"/>
        <w:jc w:val="both"/>
        <w:rPr>
          <w:color w:val="000000"/>
          <w:sz w:val="28"/>
          <w:szCs w:val="28"/>
          <w:shd w:val="clear" w:color="auto" w:fill="FFFFFF"/>
        </w:rPr>
      </w:pPr>
      <w:r>
        <w:rPr>
          <w:color w:val="000000"/>
          <w:sz w:val="28"/>
          <w:szCs w:val="28"/>
          <w:shd w:val="clear" w:color="auto" w:fill="FFFFFF"/>
        </w:rPr>
        <w:t xml:space="preserve">- </w:t>
      </w:r>
      <w:r w:rsidR="00D01A1E" w:rsidRPr="00D01A1E">
        <w:rPr>
          <w:color w:val="000000"/>
          <w:sz w:val="28"/>
          <w:szCs w:val="28"/>
          <w:shd w:val="clear" w:color="auto" w:fill="FFFFFF"/>
        </w:rPr>
        <w:t>распоряжений по поступлениям, зачисленным на единые счета бюджетов, минуя счет о</w:t>
      </w:r>
      <w:r>
        <w:rPr>
          <w:color w:val="000000"/>
          <w:sz w:val="28"/>
          <w:szCs w:val="28"/>
          <w:shd w:val="clear" w:color="auto" w:fill="FFFFFF"/>
        </w:rPr>
        <w:t>ргана Федерального казначейства и др.</w:t>
      </w:r>
    </w:p>
    <w:p w14:paraId="4CBFA083" w14:textId="77777777" w:rsidR="00921C35" w:rsidRPr="00921C35" w:rsidRDefault="00FE0323" w:rsidP="00FE0323">
      <w:pPr>
        <w:autoSpaceDE w:val="0"/>
        <w:autoSpaceDN w:val="0"/>
        <w:adjustRightInd w:val="0"/>
        <w:ind w:firstLine="567"/>
        <w:jc w:val="both"/>
        <w:rPr>
          <w:color w:val="000000" w:themeColor="text1"/>
          <w:sz w:val="28"/>
          <w:szCs w:val="28"/>
        </w:rPr>
      </w:pPr>
      <w:r>
        <w:rPr>
          <w:color w:val="000000"/>
          <w:sz w:val="28"/>
          <w:szCs w:val="28"/>
          <w:shd w:val="clear" w:color="auto" w:fill="FFFFFF"/>
        </w:rPr>
        <w:t>Возврат плательщикам излишне уплаченных (взысканных) сумм происходит на основании документа «</w:t>
      </w:r>
      <w:r w:rsidR="00D01A1E" w:rsidRPr="00D01A1E">
        <w:rPr>
          <w:color w:val="000000"/>
          <w:sz w:val="28"/>
          <w:szCs w:val="28"/>
          <w:shd w:val="clear" w:color="auto" w:fill="FFFFFF"/>
        </w:rPr>
        <w:t>Заяв</w:t>
      </w:r>
      <w:r>
        <w:rPr>
          <w:color w:val="000000"/>
          <w:sz w:val="28"/>
          <w:szCs w:val="28"/>
          <w:shd w:val="clear" w:color="auto" w:fill="FFFFFF"/>
        </w:rPr>
        <w:t>ка</w:t>
      </w:r>
      <w:r w:rsidR="00D01A1E" w:rsidRPr="00D01A1E">
        <w:rPr>
          <w:color w:val="000000"/>
          <w:sz w:val="28"/>
          <w:szCs w:val="28"/>
          <w:shd w:val="clear" w:color="auto" w:fill="FFFFFF"/>
        </w:rPr>
        <w:t xml:space="preserve"> на возврат (код формы по КФД 0531803</w:t>
      </w:r>
      <w:r>
        <w:rPr>
          <w:color w:val="000000"/>
          <w:sz w:val="28"/>
          <w:szCs w:val="28"/>
          <w:shd w:val="clear" w:color="auto" w:fill="FFFFFF"/>
        </w:rPr>
        <w:t>)».</w:t>
      </w:r>
    </w:p>
    <w:p w14:paraId="6E7DAAB6" w14:textId="77777777" w:rsidR="001D2EA8" w:rsidRPr="00710CC2" w:rsidRDefault="001D2EA8" w:rsidP="0078037A">
      <w:pPr>
        <w:autoSpaceDE w:val="0"/>
        <w:autoSpaceDN w:val="0"/>
        <w:adjustRightInd w:val="0"/>
        <w:ind w:firstLine="567"/>
        <w:jc w:val="both"/>
        <w:rPr>
          <w:rStyle w:val="blk"/>
          <w:color w:val="000000" w:themeColor="text1"/>
          <w:sz w:val="28"/>
          <w:szCs w:val="28"/>
        </w:rPr>
      </w:pPr>
      <w:r w:rsidRPr="00710CC2">
        <w:rPr>
          <w:color w:val="000000" w:themeColor="text1"/>
          <w:sz w:val="28"/>
          <w:szCs w:val="28"/>
        </w:rPr>
        <w:t xml:space="preserve">Статьей 40 Бюджетного кодекса Российской Федерации установлено, что </w:t>
      </w:r>
      <w:r w:rsidRPr="00710CC2">
        <w:rPr>
          <w:rStyle w:val="blk"/>
          <w:color w:val="000000" w:themeColor="text1"/>
          <w:sz w:val="28"/>
          <w:szCs w:val="28"/>
        </w:rPr>
        <w:t>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Бюджетным кодексом Российской Федерации, законом (решением) о бюджете и иными законами субъектов Российской Федерации и муниципальными правовыми актами</w:t>
      </w:r>
      <w:r w:rsidR="00D6526C" w:rsidRPr="00710CC2">
        <w:rPr>
          <w:rStyle w:val="blk"/>
          <w:color w:val="000000" w:themeColor="text1"/>
          <w:sz w:val="28"/>
          <w:szCs w:val="28"/>
        </w:rPr>
        <w:t xml:space="preserve"> [</w:t>
      </w:r>
      <w:r w:rsidR="00251D4D" w:rsidRPr="00710CC2">
        <w:rPr>
          <w:rStyle w:val="blk"/>
          <w:color w:val="000000" w:themeColor="text1"/>
          <w:sz w:val="28"/>
          <w:szCs w:val="28"/>
        </w:rPr>
        <w:t>10</w:t>
      </w:r>
      <w:r w:rsidR="00D6526C" w:rsidRPr="00710CC2">
        <w:rPr>
          <w:rStyle w:val="blk"/>
          <w:color w:val="000000" w:themeColor="text1"/>
          <w:sz w:val="28"/>
          <w:szCs w:val="28"/>
        </w:rPr>
        <w:t>]</w:t>
      </w:r>
      <w:r w:rsidRPr="00710CC2">
        <w:rPr>
          <w:rStyle w:val="blk"/>
          <w:color w:val="000000" w:themeColor="text1"/>
          <w:sz w:val="28"/>
          <w:szCs w:val="28"/>
        </w:rPr>
        <w:t>.</w:t>
      </w:r>
    </w:p>
    <w:p w14:paraId="660B0240" w14:textId="77777777" w:rsidR="00B01C77" w:rsidRPr="00710CC2" w:rsidRDefault="001D2EA8" w:rsidP="00D6526C">
      <w:pPr>
        <w:autoSpaceDE w:val="0"/>
        <w:autoSpaceDN w:val="0"/>
        <w:adjustRightInd w:val="0"/>
        <w:ind w:firstLine="567"/>
        <w:jc w:val="both"/>
        <w:rPr>
          <w:color w:val="000000" w:themeColor="text1"/>
          <w:sz w:val="28"/>
          <w:szCs w:val="28"/>
        </w:rPr>
      </w:pPr>
      <w:r w:rsidRPr="00710CC2">
        <w:rPr>
          <w:rStyle w:val="blk"/>
          <w:color w:val="000000" w:themeColor="text1"/>
          <w:sz w:val="28"/>
          <w:szCs w:val="28"/>
        </w:rPr>
        <w:t xml:space="preserve"> </w:t>
      </w:r>
      <w:r w:rsidR="00B01C77" w:rsidRPr="00710CC2">
        <w:rPr>
          <w:color w:val="000000" w:themeColor="text1"/>
          <w:sz w:val="28"/>
          <w:szCs w:val="28"/>
        </w:rPr>
        <w:t>В соответствии с пунктом 2 статьи 160.1 Бюджетного кодекса Российской Федерации администратор доходов бюджета принимает решение о возврате излишне уплаченных (взысканных) платежей в бюджет, пеней и штрафов, процентов за несвоевременное осуществление такого возврата и процентов, начисленных на излишне взысканные суммы, и представляет Заявку на возврат в орган Федерального казначейства в соответствии с требованиями, установленными пунктом 2</w:t>
      </w:r>
      <w:r w:rsidR="00F1373F" w:rsidRPr="00710CC2">
        <w:rPr>
          <w:color w:val="000000" w:themeColor="text1"/>
          <w:sz w:val="28"/>
          <w:szCs w:val="28"/>
        </w:rPr>
        <w:t>8</w:t>
      </w:r>
      <w:r w:rsidR="00B01C77" w:rsidRPr="00710CC2">
        <w:rPr>
          <w:color w:val="000000" w:themeColor="text1"/>
          <w:sz w:val="28"/>
          <w:szCs w:val="28"/>
        </w:rPr>
        <w:t xml:space="preserve"> Порядка № </w:t>
      </w:r>
      <w:r w:rsidR="00F1373F" w:rsidRPr="00710CC2">
        <w:rPr>
          <w:color w:val="000000" w:themeColor="text1"/>
          <w:sz w:val="28"/>
          <w:szCs w:val="28"/>
        </w:rPr>
        <w:t>66</w:t>
      </w:r>
      <w:r w:rsidR="00B01C77" w:rsidRPr="00710CC2">
        <w:rPr>
          <w:color w:val="000000" w:themeColor="text1"/>
          <w:sz w:val="28"/>
          <w:szCs w:val="28"/>
        </w:rPr>
        <w:t>н</w:t>
      </w:r>
      <w:r w:rsidR="00D6526C" w:rsidRPr="00710CC2">
        <w:rPr>
          <w:color w:val="000000" w:themeColor="text1"/>
          <w:sz w:val="28"/>
          <w:szCs w:val="28"/>
        </w:rPr>
        <w:t xml:space="preserve"> [</w:t>
      </w:r>
      <w:r w:rsidR="00251D4D" w:rsidRPr="00710CC2">
        <w:rPr>
          <w:color w:val="000000" w:themeColor="text1"/>
          <w:sz w:val="28"/>
          <w:szCs w:val="28"/>
        </w:rPr>
        <w:t>7</w:t>
      </w:r>
      <w:r w:rsidR="00D6526C" w:rsidRPr="00710CC2">
        <w:rPr>
          <w:color w:val="000000" w:themeColor="text1"/>
          <w:sz w:val="28"/>
          <w:szCs w:val="28"/>
        </w:rPr>
        <w:t>]</w:t>
      </w:r>
      <w:r w:rsidR="00B01C77" w:rsidRPr="00710CC2">
        <w:rPr>
          <w:color w:val="000000" w:themeColor="text1"/>
          <w:sz w:val="28"/>
          <w:szCs w:val="28"/>
        </w:rPr>
        <w:t>.</w:t>
      </w:r>
    </w:p>
    <w:p w14:paraId="4F622E16" w14:textId="77777777" w:rsidR="00B01C77" w:rsidRPr="00710CC2" w:rsidRDefault="00B01C77" w:rsidP="0078037A">
      <w:pPr>
        <w:ind w:firstLine="567"/>
        <w:jc w:val="both"/>
        <w:rPr>
          <w:color w:val="000000" w:themeColor="text1"/>
          <w:sz w:val="28"/>
          <w:szCs w:val="28"/>
        </w:rPr>
      </w:pPr>
      <w:r w:rsidRPr="00710CC2">
        <w:rPr>
          <w:color w:val="000000" w:themeColor="text1"/>
          <w:sz w:val="28"/>
          <w:szCs w:val="28"/>
        </w:rPr>
        <w:t>В соответствии с положениями пункта 2</w:t>
      </w:r>
      <w:r w:rsidR="000B1D72" w:rsidRPr="00710CC2">
        <w:rPr>
          <w:color w:val="000000" w:themeColor="text1"/>
          <w:sz w:val="28"/>
          <w:szCs w:val="28"/>
        </w:rPr>
        <w:t>9</w:t>
      </w:r>
      <w:r w:rsidRPr="00710CC2">
        <w:rPr>
          <w:color w:val="000000" w:themeColor="text1"/>
          <w:sz w:val="28"/>
          <w:szCs w:val="28"/>
        </w:rPr>
        <w:t xml:space="preserve"> Порядка № </w:t>
      </w:r>
      <w:r w:rsidR="00F1373F" w:rsidRPr="00710CC2">
        <w:rPr>
          <w:color w:val="000000" w:themeColor="text1"/>
          <w:sz w:val="28"/>
          <w:szCs w:val="28"/>
        </w:rPr>
        <w:t>66</w:t>
      </w:r>
      <w:r w:rsidRPr="00710CC2">
        <w:rPr>
          <w:color w:val="000000" w:themeColor="text1"/>
          <w:sz w:val="28"/>
          <w:szCs w:val="28"/>
        </w:rPr>
        <w:t>н органы Федерального казначейства осуществляют проверку обоснованности возврата администратором доходов бюджета излишне или ошибочно уплаченных сумм плательщикам по платежам, порядок возврата которых не установлен федеральными законами</w:t>
      </w:r>
      <w:r w:rsidR="00251D4D" w:rsidRPr="00710CC2">
        <w:rPr>
          <w:color w:val="000000" w:themeColor="text1"/>
          <w:sz w:val="28"/>
          <w:szCs w:val="28"/>
        </w:rPr>
        <w:t xml:space="preserve"> [2]</w:t>
      </w:r>
      <w:r w:rsidRPr="00710CC2">
        <w:rPr>
          <w:color w:val="000000" w:themeColor="text1"/>
          <w:sz w:val="28"/>
          <w:szCs w:val="28"/>
        </w:rPr>
        <w:t>.</w:t>
      </w:r>
    </w:p>
    <w:p w14:paraId="048EDDDC" w14:textId="77777777" w:rsidR="00710CC2" w:rsidRPr="00710CC2" w:rsidRDefault="00710CC2" w:rsidP="0078037A">
      <w:pPr>
        <w:ind w:firstLine="567"/>
        <w:jc w:val="both"/>
        <w:rPr>
          <w:color w:val="000000" w:themeColor="text1"/>
          <w:sz w:val="28"/>
          <w:szCs w:val="28"/>
          <w:shd w:val="clear" w:color="auto" w:fill="FFFFFF"/>
        </w:rPr>
      </w:pPr>
      <w:r w:rsidRPr="00710CC2">
        <w:rPr>
          <w:color w:val="000000" w:themeColor="text1"/>
          <w:sz w:val="28"/>
          <w:szCs w:val="28"/>
          <w:shd w:val="clear" w:color="auto" w:fill="FFFFFF"/>
        </w:rPr>
        <w:t>Возврат плательщикам излишне уплаченных (взысканных) сумм, подлежащих возмещению сумм, а также сумм процентов за несвоевременное осуществление возврата и сумм процентов, начисленных на излишне взысканные суммы (далее - возврат сумм поступлений), осуществляется на основании Заявок на возврат, представленных администраторами поступлений в бюджеты, в срок, не превышающий 3-х рабочих дней, следующих за днем их представления в орган Федерального казначейства, исходя из сумм поступлений, подлежащих перечислению в бюджеты, в соответствии с Порядком № 66н.</w:t>
      </w:r>
    </w:p>
    <w:p w14:paraId="77E1E88E" w14:textId="77777777" w:rsidR="00710CC2" w:rsidRPr="00710CC2" w:rsidRDefault="00710CC2" w:rsidP="0078037A">
      <w:pPr>
        <w:ind w:firstLine="567"/>
        <w:jc w:val="both"/>
        <w:rPr>
          <w:color w:val="000000" w:themeColor="text1"/>
          <w:sz w:val="28"/>
          <w:szCs w:val="28"/>
        </w:rPr>
      </w:pPr>
      <w:r w:rsidRPr="00710CC2">
        <w:rPr>
          <w:color w:val="000000" w:themeColor="text1"/>
          <w:sz w:val="28"/>
          <w:szCs w:val="28"/>
          <w:shd w:val="clear" w:color="auto" w:fill="FFFFFF"/>
        </w:rPr>
        <w:t>Возврат сумм поступлений осуществляется исходя из законодательно установленных нормативов распределения поступлений.</w:t>
      </w:r>
    </w:p>
    <w:p w14:paraId="30A39329" w14:textId="77777777" w:rsidR="00FB2F9C" w:rsidRPr="00FB2F9C" w:rsidRDefault="00FB2F9C" w:rsidP="0078037A">
      <w:pPr>
        <w:ind w:firstLine="567"/>
        <w:jc w:val="both"/>
        <w:rPr>
          <w:b/>
          <w:color w:val="000000" w:themeColor="text1"/>
          <w:sz w:val="28"/>
          <w:szCs w:val="28"/>
        </w:rPr>
      </w:pPr>
      <w:r w:rsidRPr="00FB2F9C">
        <w:rPr>
          <w:b/>
          <w:color w:val="000000" w:themeColor="text1"/>
          <w:sz w:val="28"/>
          <w:szCs w:val="28"/>
        </w:rPr>
        <w:lastRenderedPageBreak/>
        <w:t>Методология исследования</w:t>
      </w:r>
    </w:p>
    <w:p w14:paraId="0E51643D" w14:textId="77777777" w:rsidR="000B1D72" w:rsidRPr="00056531" w:rsidRDefault="000B1D72" w:rsidP="00056531">
      <w:pPr>
        <w:shd w:val="clear" w:color="auto" w:fill="FFFFFF"/>
        <w:ind w:firstLine="567"/>
        <w:jc w:val="both"/>
        <w:rPr>
          <w:color w:val="000000" w:themeColor="text1"/>
          <w:sz w:val="28"/>
          <w:szCs w:val="28"/>
        </w:rPr>
      </w:pPr>
      <w:r w:rsidRPr="00056531">
        <w:rPr>
          <w:color w:val="000000" w:themeColor="text1"/>
          <w:sz w:val="28"/>
          <w:szCs w:val="28"/>
        </w:rPr>
        <w:t>Орган Федерального казначейства проверяет обоснованность возврата сумм поступлений по указанным платежам по следующим направлениям:</w:t>
      </w:r>
    </w:p>
    <w:p w14:paraId="637F318E" w14:textId="77777777" w:rsidR="00056531" w:rsidRPr="00056531" w:rsidRDefault="00056531" w:rsidP="00056531">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 </w:t>
      </w:r>
      <w:r w:rsidRPr="00056531">
        <w:rPr>
          <w:color w:val="000000" w:themeColor="text1"/>
          <w:sz w:val="28"/>
          <w:szCs w:val="28"/>
        </w:rPr>
        <w:t>наличие в органе Федерального казначейства документов, указанных в реквизитах документа-основания Заявки на возврат, подтверждающих факт зачисления платежа;</w:t>
      </w:r>
    </w:p>
    <w:p w14:paraId="219CF3AC" w14:textId="77777777" w:rsidR="00056531" w:rsidRPr="00056531" w:rsidRDefault="00056531" w:rsidP="00056531">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056531">
        <w:rPr>
          <w:color w:val="000000" w:themeColor="text1"/>
          <w:sz w:val="28"/>
          <w:szCs w:val="28"/>
        </w:rPr>
        <w:t>соответствие реквизитов плательщика (ИНН (при его наличии) и наименование) из распоряжения плательщика реквизитам получателя платежа (ИНН (при его наличии) и наименование), указанным в реквизитах, предназначенных для указания информации о получателе платежа (далее - реквизиты получателя платежа) Заявки на возврат;</w:t>
      </w:r>
    </w:p>
    <w:p w14:paraId="1D3CD438" w14:textId="77777777" w:rsidR="00056531" w:rsidRPr="00056531" w:rsidRDefault="00056531" w:rsidP="00056531">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056531">
        <w:rPr>
          <w:color w:val="000000" w:themeColor="text1"/>
          <w:sz w:val="28"/>
          <w:szCs w:val="28"/>
        </w:rPr>
        <w:t>соответствие реквизитов плательщика (ИНН (при его наличии) и наименование), указанных в строке реестра, прилагаемого к платежному поручению на общую сумму с реестром, реквизитам получателя (ИНН (при его наличии) и наименование), указанным в реквизитах получателя платежа Заявки на возврат, при условии указания в реквизитах документа-основания Заявки на возврат реквизитов платежного поручения на общую сумму с реестром;</w:t>
      </w:r>
    </w:p>
    <w:p w14:paraId="41A62DCD" w14:textId="77777777" w:rsidR="00056531" w:rsidRPr="00056531" w:rsidRDefault="00056531" w:rsidP="00056531">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056531">
        <w:rPr>
          <w:color w:val="000000" w:themeColor="text1"/>
          <w:sz w:val="28"/>
          <w:szCs w:val="28"/>
        </w:rPr>
        <w:t>непревышение суммы возврата, указанной в Заявке на возврат, над суммой распоряжения (суммой платежа физического лица, указанной в строке реестра, прилагаемого к платежному поручению на общую сумму с реестром) с учетом ранее исполненных возвратов и уточнений.</w:t>
      </w:r>
    </w:p>
    <w:p w14:paraId="1F37F9ED" w14:textId="77777777" w:rsidR="000B1D72" w:rsidRDefault="00056531" w:rsidP="00056531">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056531">
        <w:rPr>
          <w:color w:val="000000" w:themeColor="text1"/>
          <w:sz w:val="28"/>
          <w:szCs w:val="28"/>
        </w:rPr>
        <w:t>соответствие требованиям законодательства Российской Федерации, устанавливающим ограничения при возврате денежных средств из бюджетн</w:t>
      </w:r>
      <w:r>
        <w:rPr>
          <w:color w:val="000000" w:themeColor="text1"/>
          <w:sz w:val="28"/>
          <w:szCs w:val="28"/>
        </w:rPr>
        <w:t xml:space="preserve">ой системы Российской Федерации </w:t>
      </w:r>
      <w:r w:rsidR="002D6357" w:rsidRPr="002D6357">
        <w:rPr>
          <w:color w:val="000000" w:themeColor="text1"/>
          <w:sz w:val="28"/>
          <w:szCs w:val="28"/>
        </w:rPr>
        <w:t>[5]</w:t>
      </w:r>
      <w:r w:rsidR="000B1D72" w:rsidRPr="000B1D72">
        <w:rPr>
          <w:color w:val="000000" w:themeColor="text1"/>
          <w:sz w:val="28"/>
          <w:szCs w:val="28"/>
        </w:rPr>
        <w:t>.</w:t>
      </w:r>
    </w:p>
    <w:p w14:paraId="417BB484" w14:textId="77777777" w:rsidR="009D6E58" w:rsidRPr="009D6E58" w:rsidRDefault="009D6E58" w:rsidP="001D74E9">
      <w:pPr>
        <w:shd w:val="clear" w:color="auto" w:fill="FFFFFF"/>
        <w:ind w:firstLine="567"/>
        <w:jc w:val="both"/>
        <w:rPr>
          <w:color w:val="000000" w:themeColor="text1"/>
          <w:sz w:val="28"/>
          <w:szCs w:val="28"/>
        </w:rPr>
      </w:pPr>
      <w:r w:rsidRPr="009D6E58">
        <w:rPr>
          <w:color w:val="000000" w:themeColor="text1"/>
          <w:sz w:val="28"/>
          <w:szCs w:val="28"/>
        </w:rPr>
        <w:t>Возврат сумм поступлений осуществляется исходя из законодательно установленных нормативов распределения поступлений.</w:t>
      </w:r>
    </w:p>
    <w:p w14:paraId="41C9075E" w14:textId="77777777" w:rsidR="009D6E58" w:rsidRDefault="009D6E58" w:rsidP="001D74E9">
      <w:pPr>
        <w:shd w:val="clear" w:color="auto" w:fill="FFFFFF"/>
        <w:ind w:firstLine="567"/>
        <w:jc w:val="both"/>
        <w:rPr>
          <w:color w:val="000000" w:themeColor="text1"/>
          <w:sz w:val="28"/>
          <w:szCs w:val="28"/>
          <w:lang w:val="en-US"/>
        </w:rPr>
      </w:pPr>
      <w:r w:rsidRPr="009D6E58">
        <w:rPr>
          <w:color w:val="000000" w:themeColor="text1"/>
          <w:sz w:val="28"/>
          <w:szCs w:val="28"/>
        </w:rPr>
        <w:t>Возможность осуществления возврата (перечисления) сумм поступлений из бюджетов в текущем дне определяется после завершения операций, проведенных с учетом документов операционного дня, указанных в настоящей главе, исходя из сумм поступлений за текущий операционный день, подлежащих перечислению в бюджеты с учетом суммы неисполненного остатка возврата поступлений за предыдущий операционный день.</w:t>
      </w:r>
    </w:p>
    <w:p w14:paraId="582C6BB3" w14:textId="77777777" w:rsidR="00894187" w:rsidRPr="00894187" w:rsidRDefault="00894187" w:rsidP="001D74E9">
      <w:pPr>
        <w:shd w:val="clear" w:color="auto" w:fill="FFFFFF"/>
        <w:ind w:firstLine="567"/>
        <w:jc w:val="both"/>
        <w:rPr>
          <w:color w:val="000000" w:themeColor="text1"/>
          <w:sz w:val="28"/>
          <w:szCs w:val="28"/>
          <w:lang w:val="en-US"/>
        </w:rPr>
      </w:pPr>
    </w:p>
    <w:p w14:paraId="3B2CA7F7" w14:textId="77777777" w:rsidR="00894187" w:rsidRPr="00894187" w:rsidRDefault="00894187" w:rsidP="00894187">
      <w:pPr>
        <w:shd w:val="clear" w:color="auto" w:fill="FFFFFF"/>
        <w:ind w:firstLine="567"/>
        <w:jc w:val="both"/>
        <w:rPr>
          <w:b/>
          <w:color w:val="000000" w:themeColor="text1"/>
          <w:sz w:val="28"/>
          <w:szCs w:val="28"/>
          <w:lang w:val="en-US"/>
        </w:rPr>
      </w:pPr>
      <w:r w:rsidRPr="001D74E9">
        <w:rPr>
          <w:b/>
          <w:color w:val="000000" w:themeColor="text1"/>
          <w:sz w:val="28"/>
          <w:szCs w:val="28"/>
        </w:rPr>
        <w:t>Результаты исследования</w:t>
      </w:r>
    </w:p>
    <w:p w14:paraId="3B3484D3" w14:textId="77777777" w:rsidR="009D6E58" w:rsidRPr="009D6E58" w:rsidRDefault="009D6E58" w:rsidP="001D74E9">
      <w:pPr>
        <w:shd w:val="clear" w:color="auto" w:fill="FFFFFF"/>
        <w:ind w:firstLine="567"/>
        <w:jc w:val="both"/>
        <w:rPr>
          <w:color w:val="000000" w:themeColor="text1"/>
          <w:sz w:val="28"/>
          <w:szCs w:val="28"/>
        </w:rPr>
      </w:pPr>
      <w:r w:rsidRPr="009D6E58">
        <w:rPr>
          <w:color w:val="000000" w:themeColor="text1"/>
          <w:sz w:val="28"/>
          <w:szCs w:val="28"/>
        </w:rPr>
        <w:t>Недостаточность поступлений в какой-либо бюджет за текущий операционный день является основанием для перечисления органом Федерального казначейства средств, необходимых для осуществления возврата сумм поступлений, с единых счетов соответствующих бюджетов на счет органа Федерального казначейства.</w:t>
      </w:r>
    </w:p>
    <w:p w14:paraId="68D8612D" w14:textId="77777777" w:rsidR="009D6E58" w:rsidRPr="00950306" w:rsidRDefault="009D6E58" w:rsidP="001D74E9">
      <w:pPr>
        <w:shd w:val="clear" w:color="auto" w:fill="FFFFFF"/>
        <w:ind w:firstLine="567"/>
        <w:jc w:val="both"/>
        <w:rPr>
          <w:color w:val="000000" w:themeColor="text1"/>
          <w:sz w:val="28"/>
          <w:szCs w:val="28"/>
        </w:rPr>
      </w:pPr>
      <w:r w:rsidRPr="009D6E58">
        <w:rPr>
          <w:color w:val="000000" w:themeColor="text1"/>
          <w:sz w:val="28"/>
          <w:szCs w:val="28"/>
        </w:rPr>
        <w:t>В случае недостаточности средств на соответствующем едином счете бюджета возврат осуществляется в последующие дни исходя из сумм поступлений, подлежащих перечислению в соответствующие бюджеты, и сумм, привлекаемых с единых счетов бюджетов, в соответствии с нормативами распределения, действующими в текущем финансовом году. При этом не допускается возникновение задолженности между бюджетами</w:t>
      </w:r>
      <w:r w:rsidR="00E03077" w:rsidRPr="00950306">
        <w:rPr>
          <w:color w:val="000000" w:themeColor="text1"/>
          <w:sz w:val="28"/>
          <w:szCs w:val="28"/>
        </w:rPr>
        <w:t xml:space="preserve"> [2]</w:t>
      </w:r>
      <w:r w:rsidRPr="009D6E58">
        <w:rPr>
          <w:color w:val="000000" w:themeColor="text1"/>
          <w:sz w:val="28"/>
          <w:szCs w:val="28"/>
        </w:rPr>
        <w:t>.</w:t>
      </w:r>
    </w:p>
    <w:p w14:paraId="5014E2F9" w14:textId="77777777" w:rsidR="00950306" w:rsidRDefault="00950306" w:rsidP="001D74E9">
      <w:pPr>
        <w:shd w:val="clear" w:color="auto" w:fill="FFFFFF"/>
        <w:ind w:firstLine="567"/>
        <w:jc w:val="both"/>
        <w:rPr>
          <w:color w:val="000000" w:themeColor="text1"/>
          <w:sz w:val="28"/>
          <w:szCs w:val="28"/>
          <w:shd w:val="clear" w:color="auto" w:fill="FFFFFF"/>
          <w:lang w:val="en-US"/>
        </w:rPr>
      </w:pPr>
      <w:r w:rsidRPr="00950306">
        <w:rPr>
          <w:color w:val="000000" w:themeColor="text1"/>
          <w:sz w:val="28"/>
          <w:szCs w:val="28"/>
          <w:shd w:val="clear" w:color="auto" w:fill="FFFFFF"/>
        </w:rPr>
        <w:lastRenderedPageBreak/>
        <w:t>В случае ошибочного двойного перечисления денежных средств на счет органа Федерального казначейства по вине банка возврат суммы платежа банку осуществляется при условии подтверждения органом Федерального казначейства факта двойного зачисления денежных средств со счета данного банка. В качестве документа, подтверждающего право плательщика на возврат, к Заявке на возврат прилагается копия письма банка, направленного в адрес администратора доходов бюджета с указанием причин ошибочного перечисления средств.</w:t>
      </w:r>
    </w:p>
    <w:p w14:paraId="4C544C50" w14:textId="77777777" w:rsidR="00894187" w:rsidRPr="00894187" w:rsidRDefault="00894187" w:rsidP="001D74E9">
      <w:pPr>
        <w:shd w:val="clear" w:color="auto" w:fill="FFFFFF"/>
        <w:ind w:firstLine="567"/>
        <w:jc w:val="both"/>
        <w:rPr>
          <w:color w:val="000000" w:themeColor="text1"/>
          <w:sz w:val="28"/>
          <w:szCs w:val="28"/>
          <w:lang w:val="en-US"/>
        </w:rPr>
      </w:pPr>
    </w:p>
    <w:p w14:paraId="59007B71" w14:textId="77777777" w:rsidR="009D6E58" w:rsidRPr="00894187" w:rsidRDefault="009D6E58" w:rsidP="00894187">
      <w:pPr>
        <w:shd w:val="clear" w:color="auto" w:fill="FFFFFF"/>
        <w:ind w:firstLine="567"/>
        <w:jc w:val="both"/>
        <w:rPr>
          <w:color w:val="000000" w:themeColor="text1"/>
          <w:sz w:val="28"/>
          <w:szCs w:val="28"/>
        </w:rPr>
      </w:pPr>
      <w:r w:rsidRPr="001D74E9">
        <w:rPr>
          <w:color w:val="000000" w:themeColor="text1"/>
          <w:sz w:val="28"/>
          <w:szCs w:val="28"/>
        </w:rPr>
        <w:t xml:space="preserve">Таблица 1. </w:t>
      </w:r>
      <w:r w:rsidR="002D4F83">
        <w:rPr>
          <w:color w:val="000000" w:themeColor="text1"/>
          <w:sz w:val="28"/>
          <w:szCs w:val="28"/>
        </w:rPr>
        <w:t>Возвраты сумм</w:t>
      </w:r>
      <w:r w:rsidR="00E03077" w:rsidRPr="00E03077">
        <w:rPr>
          <w:color w:val="000000" w:themeColor="text1"/>
          <w:sz w:val="28"/>
          <w:szCs w:val="28"/>
        </w:rPr>
        <w:t xml:space="preserve"> Управлением</w:t>
      </w:r>
      <w:r w:rsidR="003978CA">
        <w:rPr>
          <w:color w:val="000000" w:themeColor="text1"/>
          <w:sz w:val="28"/>
          <w:szCs w:val="28"/>
        </w:rPr>
        <w:t xml:space="preserve"> Федерального казначейства по Иркутской области (далее - -Управление)</w:t>
      </w:r>
      <w:r w:rsidR="002D4F83">
        <w:rPr>
          <w:color w:val="000000" w:themeColor="text1"/>
          <w:sz w:val="28"/>
          <w:szCs w:val="28"/>
        </w:rPr>
        <w:t xml:space="preserve"> в бюджеты разных уровней в период </w:t>
      </w:r>
      <w:r w:rsidR="007E48FC">
        <w:rPr>
          <w:color w:val="000000" w:themeColor="text1"/>
          <w:sz w:val="28"/>
          <w:szCs w:val="28"/>
        </w:rPr>
        <w:t>с</w:t>
      </w:r>
      <w:r w:rsidR="002D4F83">
        <w:rPr>
          <w:color w:val="000000" w:themeColor="text1"/>
          <w:sz w:val="28"/>
          <w:szCs w:val="28"/>
        </w:rPr>
        <w:t xml:space="preserve"> 2018 </w:t>
      </w:r>
      <w:r w:rsidR="007E48FC">
        <w:rPr>
          <w:color w:val="000000" w:themeColor="text1"/>
          <w:sz w:val="28"/>
          <w:szCs w:val="28"/>
        </w:rPr>
        <w:t>по</w:t>
      </w:r>
      <w:r w:rsidR="002D4F83">
        <w:rPr>
          <w:color w:val="000000" w:themeColor="text1"/>
          <w:sz w:val="28"/>
          <w:szCs w:val="28"/>
        </w:rPr>
        <w:t xml:space="preserve"> 2020 гг.</w:t>
      </w:r>
    </w:p>
    <w:tbl>
      <w:tblPr>
        <w:tblStyle w:val="a6"/>
        <w:tblW w:w="0" w:type="auto"/>
        <w:tblInd w:w="250" w:type="dxa"/>
        <w:tblLook w:val="04A0" w:firstRow="1" w:lastRow="0" w:firstColumn="1" w:lastColumn="0" w:noHBand="0" w:noVBand="1"/>
      </w:tblPr>
      <w:tblGrid>
        <w:gridCol w:w="1101"/>
        <w:gridCol w:w="2079"/>
        <w:gridCol w:w="2074"/>
        <w:gridCol w:w="2071"/>
        <w:gridCol w:w="2053"/>
      </w:tblGrid>
      <w:tr w:rsidR="001D74E9" w14:paraId="6D54A93A" w14:textId="77777777" w:rsidTr="007177A5">
        <w:tc>
          <w:tcPr>
            <w:tcW w:w="1134" w:type="dxa"/>
            <w:vMerge w:val="restart"/>
          </w:tcPr>
          <w:p w14:paraId="028C8ADA" w14:textId="77777777" w:rsidR="001D74E9" w:rsidRPr="00894187" w:rsidRDefault="001D74E9" w:rsidP="009D6E58">
            <w:pPr>
              <w:spacing w:after="255" w:line="270" w:lineRule="atLeast"/>
              <w:rPr>
                <w:rFonts w:ascii="Arial" w:hAnsi="Arial" w:cs="Arial"/>
                <w:color w:val="333333"/>
              </w:rPr>
            </w:pPr>
            <w:r w:rsidRPr="00894187">
              <w:rPr>
                <w:bCs/>
              </w:rPr>
              <w:t>Год</w:t>
            </w:r>
          </w:p>
        </w:tc>
        <w:tc>
          <w:tcPr>
            <w:tcW w:w="8470" w:type="dxa"/>
            <w:gridSpan w:val="4"/>
          </w:tcPr>
          <w:p w14:paraId="64B776C7" w14:textId="77777777" w:rsidR="001D74E9" w:rsidRPr="00894187" w:rsidRDefault="001D74E9" w:rsidP="007177A5">
            <w:pPr>
              <w:spacing w:after="255" w:line="270" w:lineRule="atLeast"/>
              <w:jc w:val="center"/>
              <w:rPr>
                <w:rFonts w:ascii="Arial" w:hAnsi="Arial" w:cs="Arial"/>
                <w:color w:val="333333"/>
              </w:rPr>
            </w:pPr>
            <w:r w:rsidRPr="00894187">
              <w:rPr>
                <w:bCs/>
              </w:rPr>
              <w:t>Суммы возвратов в бюджеты (млн. руб.)</w:t>
            </w:r>
          </w:p>
        </w:tc>
      </w:tr>
      <w:tr w:rsidR="001D74E9" w14:paraId="33CBC2C7" w14:textId="77777777" w:rsidTr="007177A5">
        <w:tc>
          <w:tcPr>
            <w:tcW w:w="1134" w:type="dxa"/>
            <w:vMerge/>
          </w:tcPr>
          <w:p w14:paraId="63ED0D5B" w14:textId="77777777" w:rsidR="001D74E9" w:rsidRPr="00894187" w:rsidRDefault="001D74E9" w:rsidP="001D74E9">
            <w:pPr>
              <w:spacing w:after="255" w:line="270" w:lineRule="atLeast"/>
              <w:rPr>
                <w:rFonts w:ascii="Arial" w:hAnsi="Arial" w:cs="Arial"/>
                <w:color w:val="333333"/>
              </w:rPr>
            </w:pPr>
          </w:p>
        </w:tc>
        <w:tc>
          <w:tcPr>
            <w:tcW w:w="2117" w:type="dxa"/>
            <w:vAlign w:val="center"/>
          </w:tcPr>
          <w:p w14:paraId="18263C7E" w14:textId="77777777" w:rsidR="001D74E9" w:rsidRPr="00894187" w:rsidRDefault="001D74E9" w:rsidP="007177A5">
            <w:pPr>
              <w:jc w:val="center"/>
              <w:rPr>
                <w:bCs/>
              </w:rPr>
            </w:pPr>
            <w:r w:rsidRPr="00894187">
              <w:rPr>
                <w:bCs/>
              </w:rPr>
              <w:t>Федеральный бюджет</w:t>
            </w:r>
          </w:p>
        </w:tc>
        <w:tc>
          <w:tcPr>
            <w:tcW w:w="2118" w:type="dxa"/>
            <w:vAlign w:val="center"/>
          </w:tcPr>
          <w:p w14:paraId="0DEB7ED9" w14:textId="77777777" w:rsidR="001D74E9" w:rsidRPr="00894187" w:rsidRDefault="001D74E9" w:rsidP="007177A5">
            <w:pPr>
              <w:jc w:val="center"/>
              <w:rPr>
                <w:bCs/>
              </w:rPr>
            </w:pPr>
            <w:r w:rsidRPr="00894187">
              <w:rPr>
                <w:bCs/>
              </w:rPr>
              <w:t>Пенсионный фонд</w:t>
            </w:r>
          </w:p>
        </w:tc>
        <w:tc>
          <w:tcPr>
            <w:tcW w:w="2117" w:type="dxa"/>
            <w:vAlign w:val="center"/>
          </w:tcPr>
          <w:p w14:paraId="1E6E12D7" w14:textId="77777777" w:rsidR="001D74E9" w:rsidRPr="00894187" w:rsidRDefault="001D74E9" w:rsidP="007177A5">
            <w:pPr>
              <w:jc w:val="center"/>
              <w:rPr>
                <w:bCs/>
              </w:rPr>
            </w:pPr>
            <w:r w:rsidRPr="00894187">
              <w:rPr>
                <w:bCs/>
              </w:rPr>
              <w:t>Фонд социального страхования</w:t>
            </w:r>
          </w:p>
        </w:tc>
        <w:tc>
          <w:tcPr>
            <w:tcW w:w="2118" w:type="dxa"/>
            <w:vAlign w:val="center"/>
          </w:tcPr>
          <w:p w14:paraId="7FD58AEF" w14:textId="77777777" w:rsidR="001D74E9" w:rsidRPr="00894187" w:rsidRDefault="001D74E9" w:rsidP="007177A5">
            <w:pPr>
              <w:jc w:val="center"/>
              <w:rPr>
                <w:bCs/>
              </w:rPr>
            </w:pPr>
            <w:r w:rsidRPr="00894187">
              <w:rPr>
                <w:bCs/>
              </w:rPr>
              <w:t>КБ субъектов РФ</w:t>
            </w:r>
          </w:p>
          <w:p w14:paraId="3E3FE1F1" w14:textId="77777777" w:rsidR="001D74E9" w:rsidRPr="00894187" w:rsidRDefault="001D74E9" w:rsidP="007177A5">
            <w:pPr>
              <w:jc w:val="center"/>
              <w:rPr>
                <w:bCs/>
              </w:rPr>
            </w:pPr>
          </w:p>
        </w:tc>
      </w:tr>
      <w:tr w:rsidR="001D74E9" w14:paraId="74CD03D0" w14:textId="77777777" w:rsidTr="007177A5">
        <w:trPr>
          <w:trHeight w:val="644"/>
        </w:trPr>
        <w:tc>
          <w:tcPr>
            <w:tcW w:w="1134" w:type="dxa"/>
            <w:vAlign w:val="center"/>
          </w:tcPr>
          <w:p w14:paraId="2AFC192C" w14:textId="77777777" w:rsidR="001D74E9" w:rsidRPr="00894187" w:rsidRDefault="001D74E9" w:rsidP="001D74E9">
            <w:pPr>
              <w:jc w:val="center"/>
            </w:pPr>
            <w:r w:rsidRPr="00894187">
              <w:t>2018</w:t>
            </w:r>
          </w:p>
        </w:tc>
        <w:tc>
          <w:tcPr>
            <w:tcW w:w="2117" w:type="dxa"/>
            <w:vAlign w:val="center"/>
          </w:tcPr>
          <w:p w14:paraId="245E6E66" w14:textId="77777777" w:rsidR="001D74E9" w:rsidRPr="00894187" w:rsidRDefault="001D74E9" w:rsidP="007177A5">
            <w:pPr>
              <w:jc w:val="center"/>
            </w:pPr>
            <w:r w:rsidRPr="00894187">
              <w:t>22 449,03</w:t>
            </w:r>
          </w:p>
        </w:tc>
        <w:tc>
          <w:tcPr>
            <w:tcW w:w="2118" w:type="dxa"/>
            <w:vAlign w:val="center"/>
          </w:tcPr>
          <w:p w14:paraId="55BE087C" w14:textId="77777777" w:rsidR="001D74E9" w:rsidRPr="00894187" w:rsidRDefault="001D74E9" w:rsidP="007177A5">
            <w:pPr>
              <w:jc w:val="center"/>
            </w:pPr>
            <w:r w:rsidRPr="00894187">
              <w:t>381,50</w:t>
            </w:r>
          </w:p>
        </w:tc>
        <w:tc>
          <w:tcPr>
            <w:tcW w:w="2117" w:type="dxa"/>
            <w:vAlign w:val="center"/>
          </w:tcPr>
          <w:p w14:paraId="7658572F" w14:textId="77777777" w:rsidR="001D74E9" w:rsidRPr="00894187" w:rsidRDefault="001D74E9" w:rsidP="007177A5">
            <w:pPr>
              <w:jc w:val="center"/>
            </w:pPr>
            <w:r w:rsidRPr="00894187">
              <w:t>2 079,09</w:t>
            </w:r>
          </w:p>
        </w:tc>
        <w:tc>
          <w:tcPr>
            <w:tcW w:w="2118" w:type="dxa"/>
            <w:vAlign w:val="center"/>
          </w:tcPr>
          <w:p w14:paraId="3615939F" w14:textId="77777777" w:rsidR="001D74E9" w:rsidRPr="00894187" w:rsidRDefault="001D74E9" w:rsidP="007177A5">
            <w:pPr>
              <w:jc w:val="center"/>
            </w:pPr>
            <w:r w:rsidRPr="00894187">
              <w:t>7 239,38</w:t>
            </w:r>
          </w:p>
        </w:tc>
      </w:tr>
      <w:tr w:rsidR="001D74E9" w14:paraId="18D47273" w14:textId="77777777" w:rsidTr="007177A5">
        <w:trPr>
          <w:trHeight w:val="644"/>
        </w:trPr>
        <w:tc>
          <w:tcPr>
            <w:tcW w:w="1134" w:type="dxa"/>
            <w:vAlign w:val="center"/>
          </w:tcPr>
          <w:p w14:paraId="78184695" w14:textId="77777777" w:rsidR="001D74E9" w:rsidRPr="00894187" w:rsidRDefault="001D74E9" w:rsidP="001D74E9">
            <w:pPr>
              <w:jc w:val="center"/>
            </w:pPr>
            <w:r w:rsidRPr="00894187">
              <w:t>2019</w:t>
            </w:r>
          </w:p>
        </w:tc>
        <w:tc>
          <w:tcPr>
            <w:tcW w:w="2117" w:type="dxa"/>
            <w:vAlign w:val="center"/>
          </w:tcPr>
          <w:p w14:paraId="5658C46E" w14:textId="77777777" w:rsidR="001D74E9" w:rsidRPr="00894187" w:rsidRDefault="001D74E9" w:rsidP="007177A5">
            <w:pPr>
              <w:jc w:val="center"/>
            </w:pPr>
            <w:r w:rsidRPr="00894187">
              <w:t>30 113,59</w:t>
            </w:r>
          </w:p>
        </w:tc>
        <w:tc>
          <w:tcPr>
            <w:tcW w:w="2118" w:type="dxa"/>
            <w:vAlign w:val="center"/>
          </w:tcPr>
          <w:p w14:paraId="26748502" w14:textId="77777777" w:rsidR="001D74E9" w:rsidRPr="00894187" w:rsidRDefault="001D74E9" w:rsidP="007177A5">
            <w:pPr>
              <w:jc w:val="center"/>
            </w:pPr>
            <w:r w:rsidRPr="00894187">
              <w:t>214,21</w:t>
            </w:r>
          </w:p>
        </w:tc>
        <w:tc>
          <w:tcPr>
            <w:tcW w:w="2117" w:type="dxa"/>
            <w:vAlign w:val="center"/>
          </w:tcPr>
          <w:p w14:paraId="5F1F576B" w14:textId="77777777" w:rsidR="001D74E9" w:rsidRPr="00894187" w:rsidRDefault="001D74E9" w:rsidP="007177A5">
            <w:pPr>
              <w:jc w:val="center"/>
            </w:pPr>
            <w:r w:rsidRPr="00894187">
              <w:t>2 318,59</w:t>
            </w:r>
          </w:p>
        </w:tc>
        <w:tc>
          <w:tcPr>
            <w:tcW w:w="2118" w:type="dxa"/>
            <w:vAlign w:val="center"/>
          </w:tcPr>
          <w:p w14:paraId="50699ED4" w14:textId="77777777" w:rsidR="001D74E9" w:rsidRPr="00894187" w:rsidRDefault="001D74E9" w:rsidP="007177A5">
            <w:pPr>
              <w:jc w:val="center"/>
            </w:pPr>
            <w:r w:rsidRPr="00894187">
              <w:t>7 189,68</w:t>
            </w:r>
          </w:p>
          <w:p w14:paraId="7EFF07A0" w14:textId="77777777" w:rsidR="001D74E9" w:rsidRPr="00894187" w:rsidRDefault="001D74E9" w:rsidP="007177A5">
            <w:pPr>
              <w:jc w:val="center"/>
            </w:pPr>
          </w:p>
        </w:tc>
      </w:tr>
      <w:tr w:rsidR="001D74E9" w14:paraId="2E2A90D5" w14:textId="77777777" w:rsidTr="007177A5">
        <w:trPr>
          <w:trHeight w:val="644"/>
        </w:trPr>
        <w:tc>
          <w:tcPr>
            <w:tcW w:w="1134" w:type="dxa"/>
            <w:vAlign w:val="center"/>
          </w:tcPr>
          <w:p w14:paraId="293759DB" w14:textId="77777777" w:rsidR="001D74E9" w:rsidRPr="00894187" w:rsidRDefault="001D74E9" w:rsidP="001D74E9">
            <w:pPr>
              <w:jc w:val="center"/>
            </w:pPr>
            <w:r w:rsidRPr="00894187">
              <w:t>2020</w:t>
            </w:r>
          </w:p>
        </w:tc>
        <w:tc>
          <w:tcPr>
            <w:tcW w:w="2117" w:type="dxa"/>
            <w:vAlign w:val="center"/>
          </w:tcPr>
          <w:p w14:paraId="4B7EE340" w14:textId="77777777" w:rsidR="001D74E9" w:rsidRPr="00894187" w:rsidRDefault="001D74E9" w:rsidP="007177A5">
            <w:pPr>
              <w:jc w:val="center"/>
            </w:pPr>
            <w:r w:rsidRPr="00894187">
              <w:t>28 283,77</w:t>
            </w:r>
          </w:p>
        </w:tc>
        <w:tc>
          <w:tcPr>
            <w:tcW w:w="2118" w:type="dxa"/>
            <w:vAlign w:val="center"/>
          </w:tcPr>
          <w:p w14:paraId="5DE0ED08" w14:textId="77777777" w:rsidR="001D74E9" w:rsidRPr="00894187" w:rsidRDefault="001D74E9" w:rsidP="007177A5">
            <w:pPr>
              <w:jc w:val="center"/>
            </w:pPr>
            <w:r w:rsidRPr="00894187">
              <w:t>149,80</w:t>
            </w:r>
          </w:p>
        </w:tc>
        <w:tc>
          <w:tcPr>
            <w:tcW w:w="2117" w:type="dxa"/>
            <w:vAlign w:val="center"/>
          </w:tcPr>
          <w:p w14:paraId="18F2437F" w14:textId="77777777" w:rsidR="001D74E9" w:rsidRPr="00894187" w:rsidRDefault="001D74E9" w:rsidP="007177A5">
            <w:pPr>
              <w:jc w:val="center"/>
            </w:pPr>
            <w:r w:rsidRPr="00894187">
              <w:t>1 402,89</w:t>
            </w:r>
          </w:p>
        </w:tc>
        <w:tc>
          <w:tcPr>
            <w:tcW w:w="2118" w:type="dxa"/>
            <w:vAlign w:val="center"/>
          </w:tcPr>
          <w:p w14:paraId="21140EB8" w14:textId="77777777" w:rsidR="001D74E9" w:rsidRPr="00894187" w:rsidRDefault="001D74E9" w:rsidP="007177A5">
            <w:pPr>
              <w:jc w:val="center"/>
            </w:pPr>
            <w:r w:rsidRPr="00894187">
              <w:t>8 681,67</w:t>
            </w:r>
          </w:p>
          <w:p w14:paraId="1985696F" w14:textId="77777777" w:rsidR="001D74E9" w:rsidRPr="00894187" w:rsidRDefault="001D74E9" w:rsidP="007177A5">
            <w:pPr>
              <w:jc w:val="center"/>
            </w:pPr>
          </w:p>
        </w:tc>
      </w:tr>
    </w:tbl>
    <w:p w14:paraId="3202F620" w14:textId="77777777" w:rsidR="009D6E58" w:rsidRDefault="009D6E58" w:rsidP="0078037A">
      <w:pPr>
        <w:pStyle w:val="pboth"/>
        <w:spacing w:before="0" w:beforeAutospacing="0" w:after="0" w:afterAutospacing="0"/>
        <w:ind w:firstLine="567"/>
        <w:jc w:val="both"/>
        <w:rPr>
          <w:color w:val="000000" w:themeColor="text1"/>
          <w:sz w:val="28"/>
          <w:szCs w:val="28"/>
        </w:rPr>
      </w:pPr>
    </w:p>
    <w:p w14:paraId="36A8ECB0" w14:textId="77777777" w:rsidR="007E48FC" w:rsidRDefault="007E48FC" w:rsidP="0078037A">
      <w:pPr>
        <w:pStyle w:val="pboth"/>
        <w:spacing w:before="0" w:beforeAutospacing="0" w:after="0" w:afterAutospacing="0"/>
        <w:ind w:firstLine="567"/>
        <w:jc w:val="both"/>
        <w:rPr>
          <w:color w:val="000000" w:themeColor="text1"/>
          <w:sz w:val="28"/>
          <w:szCs w:val="28"/>
        </w:rPr>
      </w:pPr>
      <w:r>
        <w:rPr>
          <w:color w:val="000000" w:themeColor="text1"/>
          <w:sz w:val="28"/>
          <w:szCs w:val="28"/>
        </w:rPr>
        <w:t>Из данных таблицы</w:t>
      </w:r>
      <w:r w:rsidR="00894187" w:rsidRPr="00894187">
        <w:rPr>
          <w:color w:val="000000" w:themeColor="text1"/>
          <w:sz w:val="28"/>
          <w:szCs w:val="28"/>
        </w:rPr>
        <w:t xml:space="preserve"> 1</w:t>
      </w:r>
      <w:r>
        <w:rPr>
          <w:color w:val="000000" w:themeColor="text1"/>
          <w:sz w:val="28"/>
          <w:szCs w:val="28"/>
        </w:rPr>
        <w:t xml:space="preserve"> видно, что основная сумма возврата средств приходится на федеральный бюджет и бюджет субъекта. </w:t>
      </w:r>
    </w:p>
    <w:p w14:paraId="098CE539" w14:textId="77777777" w:rsidR="00DF0D54" w:rsidRDefault="009E4051" w:rsidP="0078037A">
      <w:pPr>
        <w:pStyle w:val="pboth"/>
        <w:spacing w:before="0" w:beforeAutospacing="0" w:after="0" w:afterAutospacing="0"/>
        <w:ind w:firstLine="567"/>
        <w:jc w:val="both"/>
        <w:rPr>
          <w:color w:val="000000" w:themeColor="text1"/>
          <w:sz w:val="28"/>
          <w:szCs w:val="28"/>
          <w:lang w:val="en-US"/>
        </w:rPr>
      </w:pPr>
      <w:r>
        <w:rPr>
          <w:color w:val="000000" w:themeColor="text1"/>
          <w:sz w:val="28"/>
          <w:szCs w:val="28"/>
        </w:rPr>
        <w:t>Далее на рисунке 1 п</w:t>
      </w:r>
      <w:r w:rsidR="00DF0D54">
        <w:rPr>
          <w:color w:val="000000" w:themeColor="text1"/>
          <w:sz w:val="28"/>
          <w:szCs w:val="28"/>
        </w:rPr>
        <w:t>редставлена динамика возвратов сумм</w:t>
      </w:r>
      <w:r>
        <w:rPr>
          <w:color w:val="000000" w:themeColor="text1"/>
          <w:sz w:val="28"/>
          <w:szCs w:val="28"/>
        </w:rPr>
        <w:t xml:space="preserve"> в федеральный бюджет и бюджет субъекта РФ за 2018 – 2020 годы.</w:t>
      </w:r>
    </w:p>
    <w:p w14:paraId="7D42618B" w14:textId="77777777" w:rsidR="00894187" w:rsidRPr="00894187" w:rsidRDefault="00894187" w:rsidP="0078037A">
      <w:pPr>
        <w:pStyle w:val="pboth"/>
        <w:spacing w:before="0" w:beforeAutospacing="0" w:after="0" w:afterAutospacing="0"/>
        <w:ind w:firstLine="567"/>
        <w:jc w:val="both"/>
        <w:rPr>
          <w:color w:val="000000" w:themeColor="text1"/>
          <w:sz w:val="28"/>
          <w:szCs w:val="28"/>
          <w:lang w:val="en-US"/>
        </w:rPr>
      </w:pPr>
    </w:p>
    <w:p w14:paraId="76A50748" w14:textId="77777777" w:rsidR="00EB3184" w:rsidRDefault="00374A2C" w:rsidP="00082344">
      <w:pPr>
        <w:pStyle w:val="pboth"/>
        <w:spacing w:before="0" w:beforeAutospacing="0" w:after="0" w:afterAutospacing="0"/>
        <w:ind w:firstLine="567"/>
        <w:jc w:val="center"/>
        <w:rPr>
          <w:color w:val="000000" w:themeColor="text1"/>
          <w:sz w:val="28"/>
          <w:szCs w:val="28"/>
        </w:rPr>
      </w:pPr>
      <w:r>
        <w:rPr>
          <w:noProof/>
        </w:rPr>
        <w:drawing>
          <wp:inline distT="0" distB="0" distL="0" distR="0" wp14:anchorId="585950FB" wp14:editId="7584999A">
            <wp:extent cx="5410200" cy="27813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1543AD" w14:textId="77777777" w:rsidR="00EB3184" w:rsidRDefault="00EB3184" w:rsidP="0078037A">
      <w:pPr>
        <w:pStyle w:val="pboth"/>
        <w:spacing w:before="0" w:beforeAutospacing="0" w:after="0" w:afterAutospacing="0"/>
        <w:ind w:firstLine="567"/>
        <w:jc w:val="both"/>
        <w:rPr>
          <w:color w:val="000000" w:themeColor="text1"/>
          <w:sz w:val="28"/>
          <w:szCs w:val="28"/>
        </w:rPr>
      </w:pPr>
    </w:p>
    <w:p w14:paraId="2ED21AB1" w14:textId="77777777" w:rsidR="003A0483" w:rsidRDefault="003A0483" w:rsidP="00DB321B">
      <w:pPr>
        <w:pStyle w:val="pboth"/>
        <w:spacing w:before="0" w:beforeAutospacing="0" w:after="0" w:afterAutospacing="0"/>
        <w:ind w:firstLine="567"/>
        <w:jc w:val="both"/>
        <w:rPr>
          <w:color w:val="000000" w:themeColor="text1"/>
          <w:sz w:val="28"/>
          <w:szCs w:val="28"/>
        </w:rPr>
      </w:pPr>
      <w:r>
        <w:rPr>
          <w:color w:val="000000" w:themeColor="text1"/>
          <w:sz w:val="28"/>
          <w:szCs w:val="28"/>
        </w:rPr>
        <w:t>Рисунок 1. Суммы возвратов в федеральный бюджет и бюджет субъекта за период с 2018 – 2020 гг.</w:t>
      </w:r>
    </w:p>
    <w:p w14:paraId="4D56BFC8" w14:textId="77777777" w:rsidR="006C7472" w:rsidRDefault="006C7472" w:rsidP="00DB321B">
      <w:pPr>
        <w:pStyle w:val="pboth"/>
        <w:spacing w:before="0" w:beforeAutospacing="0" w:after="0" w:afterAutospacing="0"/>
        <w:ind w:firstLine="567"/>
        <w:jc w:val="both"/>
        <w:rPr>
          <w:color w:val="000000" w:themeColor="text1"/>
          <w:sz w:val="28"/>
          <w:szCs w:val="28"/>
        </w:rPr>
      </w:pPr>
      <w:r>
        <w:rPr>
          <w:color w:val="000000" w:themeColor="text1"/>
          <w:sz w:val="28"/>
          <w:szCs w:val="28"/>
        </w:rPr>
        <w:lastRenderedPageBreak/>
        <w:t xml:space="preserve">Суммы возвратов имеют не стабильную динамику. </w:t>
      </w:r>
      <w:r w:rsidR="00485797">
        <w:rPr>
          <w:color w:val="000000" w:themeColor="text1"/>
          <w:sz w:val="28"/>
          <w:szCs w:val="28"/>
        </w:rPr>
        <w:t>Это прежде всего зависит от правильности уплаты платежей плательщиками (физических лиц, юридических лиц, администраторов доходов бюджета и др.).</w:t>
      </w:r>
      <w:r w:rsidR="00DB321B">
        <w:rPr>
          <w:color w:val="000000" w:themeColor="text1"/>
          <w:sz w:val="28"/>
          <w:szCs w:val="28"/>
        </w:rPr>
        <w:t xml:space="preserve"> Это также зависит и от работы администраторов доходов бюджета – как они взаимодействуют с плательщиками и доводят до них верные реквизиты для осуществления платежей.</w:t>
      </w:r>
    </w:p>
    <w:p w14:paraId="14084070" w14:textId="77777777" w:rsidR="00DB321B" w:rsidRDefault="00DB321B" w:rsidP="00EB5D68">
      <w:pPr>
        <w:ind w:firstLine="567"/>
        <w:jc w:val="both"/>
        <w:rPr>
          <w:sz w:val="28"/>
          <w:szCs w:val="28"/>
        </w:rPr>
      </w:pPr>
      <w:r w:rsidRPr="009F0690">
        <w:rPr>
          <w:sz w:val="28"/>
          <w:szCs w:val="28"/>
        </w:rPr>
        <w:t>Администраторы доходов бюджетов занимают особое место среди остальных участников бюджетного процесса, поскольку от их работы напрямую</w:t>
      </w:r>
      <w:r>
        <w:rPr>
          <w:sz w:val="28"/>
          <w:szCs w:val="28"/>
        </w:rPr>
        <w:t xml:space="preserve"> </w:t>
      </w:r>
      <w:r w:rsidRPr="009F0690">
        <w:rPr>
          <w:sz w:val="28"/>
          <w:szCs w:val="28"/>
        </w:rPr>
        <w:t>завис</w:t>
      </w:r>
      <w:r>
        <w:rPr>
          <w:sz w:val="28"/>
          <w:szCs w:val="28"/>
        </w:rPr>
        <w:t>и</w:t>
      </w:r>
      <w:r w:rsidRPr="009F0690">
        <w:rPr>
          <w:sz w:val="28"/>
          <w:szCs w:val="28"/>
        </w:rPr>
        <w:t>т</w:t>
      </w:r>
      <w:r>
        <w:rPr>
          <w:sz w:val="28"/>
          <w:szCs w:val="28"/>
        </w:rPr>
        <w:t xml:space="preserve"> </w:t>
      </w:r>
      <w:r w:rsidRPr="009F0690">
        <w:rPr>
          <w:sz w:val="28"/>
          <w:szCs w:val="28"/>
        </w:rPr>
        <w:t>полнота</w:t>
      </w:r>
      <w:r>
        <w:rPr>
          <w:sz w:val="28"/>
          <w:szCs w:val="28"/>
        </w:rPr>
        <w:t xml:space="preserve"> </w:t>
      </w:r>
      <w:r w:rsidRPr="009F0690">
        <w:rPr>
          <w:sz w:val="28"/>
          <w:szCs w:val="28"/>
        </w:rPr>
        <w:t>и</w:t>
      </w:r>
      <w:r>
        <w:rPr>
          <w:sz w:val="28"/>
          <w:szCs w:val="28"/>
        </w:rPr>
        <w:t xml:space="preserve"> </w:t>
      </w:r>
      <w:r w:rsidRPr="009F0690">
        <w:rPr>
          <w:sz w:val="28"/>
          <w:szCs w:val="28"/>
        </w:rPr>
        <w:t>своевременность</w:t>
      </w:r>
      <w:r>
        <w:rPr>
          <w:sz w:val="28"/>
          <w:szCs w:val="28"/>
        </w:rPr>
        <w:t xml:space="preserve"> </w:t>
      </w:r>
      <w:r w:rsidRPr="009F0690">
        <w:rPr>
          <w:sz w:val="28"/>
          <w:szCs w:val="28"/>
        </w:rPr>
        <w:t>наполняемости</w:t>
      </w:r>
      <w:r>
        <w:rPr>
          <w:sz w:val="28"/>
          <w:szCs w:val="28"/>
        </w:rPr>
        <w:t xml:space="preserve"> </w:t>
      </w:r>
      <w:r w:rsidRPr="009F0690">
        <w:rPr>
          <w:sz w:val="28"/>
          <w:szCs w:val="28"/>
        </w:rPr>
        <w:t>соответствующего</w:t>
      </w:r>
      <w:r>
        <w:rPr>
          <w:sz w:val="28"/>
          <w:szCs w:val="28"/>
        </w:rPr>
        <w:t xml:space="preserve"> </w:t>
      </w:r>
      <w:r w:rsidRPr="009F0690">
        <w:rPr>
          <w:sz w:val="28"/>
          <w:szCs w:val="28"/>
        </w:rPr>
        <w:t>бюджета,</w:t>
      </w:r>
      <w:r>
        <w:rPr>
          <w:sz w:val="28"/>
          <w:szCs w:val="28"/>
        </w:rPr>
        <w:t xml:space="preserve"> </w:t>
      </w:r>
      <w:r w:rsidRPr="009F0690">
        <w:rPr>
          <w:sz w:val="28"/>
          <w:szCs w:val="28"/>
        </w:rPr>
        <w:t>а</w:t>
      </w:r>
      <w:r>
        <w:rPr>
          <w:sz w:val="28"/>
          <w:szCs w:val="28"/>
        </w:rPr>
        <w:t>, следовательно</w:t>
      </w:r>
      <w:r w:rsidRPr="009F0690">
        <w:rPr>
          <w:sz w:val="28"/>
          <w:szCs w:val="28"/>
        </w:rPr>
        <w:t>,</w:t>
      </w:r>
      <w:r>
        <w:rPr>
          <w:sz w:val="28"/>
          <w:szCs w:val="28"/>
        </w:rPr>
        <w:t xml:space="preserve"> </w:t>
      </w:r>
      <w:r w:rsidRPr="009F0690">
        <w:rPr>
          <w:sz w:val="28"/>
          <w:szCs w:val="28"/>
        </w:rPr>
        <w:t>и</w:t>
      </w:r>
      <w:r>
        <w:rPr>
          <w:sz w:val="28"/>
          <w:szCs w:val="28"/>
        </w:rPr>
        <w:t xml:space="preserve"> </w:t>
      </w:r>
      <w:r w:rsidRPr="009F0690">
        <w:rPr>
          <w:sz w:val="28"/>
          <w:szCs w:val="28"/>
        </w:rPr>
        <w:t xml:space="preserve">состояние основных источников финансирования всех бюджетов бюджетной системы. Согласно Бюджетному кодексу </w:t>
      </w:r>
      <w:r>
        <w:rPr>
          <w:sz w:val="28"/>
          <w:szCs w:val="28"/>
        </w:rPr>
        <w:t xml:space="preserve">Российской Федерации </w:t>
      </w:r>
      <w:r w:rsidRPr="009F0690">
        <w:rPr>
          <w:sz w:val="28"/>
          <w:szCs w:val="28"/>
        </w:rPr>
        <w:t>администратор доходов бюджета осуществляет</w:t>
      </w:r>
      <w:r>
        <w:rPr>
          <w:sz w:val="28"/>
          <w:szCs w:val="28"/>
        </w:rPr>
        <w:t xml:space="preserve"> </w:t>
      </w:r>
      <w:r w:rsidRPr="009F0690">
        <w:rPr>
          <w:sz w:val="28"/>
          <w:szCs w:val="28"/>
        </w:rPr>
        <w:t>контроль</w:t>
      </w:r>
      <w:r>
        <w:rPr>
          <w:sz w:val="28"/>
          <w:szCs w:val="28"/>
        </w:rPr>
        <w:t xml:space="preserve"> </w:t>
      </w:r>
      <w:r w:rsidRPr="009F0690">
        <w:rPr>
          <w:sz w:val="28"/>
          <w:szCs w:val="28"/>
        </w:rPr>
        <w:t>за</w:t>
      </w:r>
      <w:r>
        <w:rPr>
          <w:sz w:val="28"/>
          <w:szCs w:val="28"/>
        </w:rPr>
        <w:t xml:space="preserve"> </w:t>
      </w:r>
      <w:r w:rsidRPr="009F0690">
        <w:rPr>
          <w:sz w:val="28"/>
          <w:szCs w:val="28"/>
        </w:rPr>
        <w:t>правильностью</w:t>
      </w:r>
      <w:r>
        <w:rPr>
          <w:sz w:val="28"/>
          <w:szCs w:val="28"/>
        </w:rPr>
        <w:t xml:space="preserve"> </w:t>
      </w:r>
      <w:r w:rsidRPr="009F0690">
        <w:rPr>
          <w:sz w:val="28"/>
          <w:szCs w:val="28"/>
        </w:rPr>
        <w:t>исчисления,</w:t>
      </w:r>
      <w:r>
        <w:rPr>
          <w:sz w:val="28"/>
          <w:szCs w:val="28"/>
        </w:rPr>
        <w:t xml:space="preserve"> </w:t>
      </w:r>
      <w:r w:rsidRPr="009F0690">
        <w:rPr>
          <w:sz w:val="28"/>
          <w:szCs w:val="28"/>
        </w:rPr>
        <w:t>полнотой</w:t>
      </w:r>
      <w:r>
        <w:rPr>
          <w:sz w:val="28"/>
          <w:szCs w:val="28"/>
        </w:rPr>
        <w:t xml:space="preserve"> </w:t>
      </w:r>
      <w:r w:rsidRPr="009F0690">
        <w:rPr>
          <w:sz w:val="28"/>
          <w:szCs w:val="28"/>
        </w:rPr>
        <w:t>и своевременностью уплаты, начислением, учетом, взысканием платежей, являющихся доходами бюджетов бюджетной системы Р</w:t>
      </w:r>
      <w:r>
        <w:rPr>
          <w:sz w:val="28"/>
          <w:szCs w:val="28"/>
        </w:rPr>
        <w:t xml:space="preserve">оссийской </w:t>
      </w:r>
      <w:r w:rsidRPr="009F0690">
        <w:rPr>
          <w:sz w:val="28"/>
          <w:szCs w:val="28"/>
        </w:rPr>
        <w:t>Ф</w:t>
      </w:r>
      <w:r>
        <w:rPr>
          <w:sz w:val="28"/>
          <w:szCs w:val="28"/>
        </w:rPr>
        <w:t>едерации</w:t>
      </w:r>
      <w:r w:rsidRPr="009F0690">
        <w:rPr>
          <w:sz w:val="28"/>
          <w:szCs w:val="28"/>
        </w:rPr>
        <w:t>, а также за принятием решений о возврате (зачете) излишне уплаченных (взысканных) платежей, штрафов и пеней по ним. Кроме того, задачей администраторов доходов бюджетов является своевременное и правильное доведение до плательщиков реквизитов для оформления платежных документов по уплате денежных средств в</w:t>
      </w:r>
      <w:r>
        <w:rPr>
          <w:sz w:val="28"/>
          <w:szCs w:val="28"/>
        </w:rPr>
        <w:t xml:space="preserve"> </w:t>
      </w:r>
      <w:r w:rsidRPr="009F0690">
        <w:rPr>
          <w:sz w:val="28"/>
          <w:szCs w:val="28"/>
        </w:rPr>
        <w:t>бюджеты. Поэтому поступающие в Управление правильно оформленные платежные поручения говорят о </w:t>
      </w:r>
      <w:r>
        <w:rPr>
          <w:sz w:val="28"/>
          <w:szCs w:val="28"/>
        </w:rPr>
        <w:t>качественно</w:t>
      </w:r>
      <w:r w:rsidRPr="009F0690">
        <w:rPr>
          <w:sz w:val="28"/>
          <w:szCs w:val="28"/>
        </w:rPr>
        <w:t xml:space="preserve"> проведенной администраторами доходов бюджета работе с плательщиками.</w:t>
      </w:r>
    </w:p>
    <w:p w14:paraId="1B9CC7EE" w14:textId="77777777" w:rsidR="009E4051" w:rsidRDefault="009E4051" w:rsidP="00EB5D68">
      <w:pPr>
        <w:pStyle w:val="pboth"/>
        <w:spacing w:before="0" w:beforeAutospacing="0" w:after="0" w:afterAutospacing="0"/>
        <w:ind w:firstLine="567"/>
        <w:jc w:val="both"/>
        <w:rPr>
          <w:color w:val="000000" w:themeColor="text1"/>
          <w:sz w:val="28"/>
          <w:szCs w:val="28"/>
        </w:rPr>
      </w:pPr>
      <w:r>
        <w:rPr>
          <w:color w:val="000000" w:themeColor="text1"/>
          <w:sz w:val="28"/>
          <w:szCs w:val="28"/>
        </w:rPr>
        <w:t>Рассмотрим долю каждого бюджета в общей сумме возвратов средств за 2020 год (</w:t>
      </w:r>
      <w:r w:rsidR="00EB5D68">
        <w:rPr>
          <w:color w:val="000000" w:themeColor="text1"/>
          <w:sz w:val="28"/>
          <w:szCs w:val="28"/>
        </w:rPr>
        <w:t>см. рис.</w:t>
      </w:r>
      <w:r>
        <w:rPr>
          <w:color w:val="000000" w:themeColor="text1"/>
          <w:sz w:val="28"/>
          <w:szCs w:val="28"/>
        </w:rPr>
        <w:t xml:space="preserve"> 2).</w:t>
      </w:r>
    </w:p>
    <w:p w14:paraId="68AEB4A0" w14:textId="77777777" w:rsidR="00B855C0" w:rsidRPr="003A0483" w:rsidRDefault="00B855C0" w:rsidP="003A0483">
      <w:pPr>
        <w:pStyle w:val="pboth"/>
        <w:ind w:firstLine="567"/>
        <w:jc w:val="both"/>
        <w:rPr>
          <w:color w:val="000000" w:themeColor="text1"/>
          <w:sz w:val="28"/>
          <w:szCs w:val="28"/>
        </w:rPr>
      </w:pPr>
      <w:r>
        <w:rPr>
          <w:noProof/>
        </w:rPr>
        <w:drawing>
          <wp:inline distT="0" distB="0" distL="0" distR="0" wp14:anchorId="7B05A2C7" wp14:editId="2242939F">
            <wp:extent cx="5334000" cy="33718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543CB0" w14:textId="77777777" w:rsidR="00EB5D68" w:rsidRDefault="00EB5D68" w:rsidP="0078037A">
      <w:pPr>
        <w:pStyle w:val="pboth"/>
        <w:spacing w:before="0" w:beforeAutospacing="0" w:after="0" w:afterAutospacing="0"/>
        <w:ind w:firstLine="567"/>
        <w:jc w:val="both"/>
        <w:rPr>
          <w:color w:val="000000" w:themeColor="text1"/>
          <w:sz w:val="28"/>
          <w:szCs w:val="28"/>
        </w:rPr>
      </w:pPr>
      <w:r>
        <w:rPr>
          <w:color w:val="000000" w:themeColor="text1"/>
          <w:sz w:val="28"/>
          <w:szCs w:val="28"/>
        </w:rPr>
        <w:t>Рисунок 2. Структура возврата по видам бюджетов за 2020 год, %.</w:t>
      </w:r>
    </w:p>
    <w:p w14:paraId="67A8E841" w14:textId="77777777" w:rsidR="00EB5D68" w:rsidRDefault="00EB5D68" w:rsidP="0078037A">
      <w:pPr>
        <w:pStyle w:val="pboth"/>
        <w:spacing w:before="0" w:beforeAutospacing="0" w:after="0" w:afterAutospacing="0"/>
        <w:ind w:firstLine="567"/>
        <w:jc w:val="both"/>
        <w:rPr>
          <w:color w:val="000000" w:themeColor="text1"/>
          <w:sz w:val="28"/>
          <w:szCs w:val="28"/>
        </w:rPr>
      </w:pPr>
    </w:p>
    <w:p w14:paraId="55E2E7EB" w14:textId="77777777" w:rsidR="00EB3184" w:rsidRPr="006807F9" w:rsidRDefault="00D558F2" w:rsidP="0078037A">
      <w:pPr>
        <w:pStyle w:val="pboth"/>
        <w:spacing w:before="0" w:beforeAutospacing="0" w:after="0" w:afterAutospacing="0"/>
        <w:ind w:firstLine="567"/>
        <w:jc w:val="both"/>
        <w:rPr>
          <w:color w:val="000000" w:themeColor="text1"/>
          <w:sz w:val="28"/>
          <w:szCs w:val="28"/>
        </w:rPr>
      </w:pPr>
      <w:r w:rsidRPr="006807F9">
        <w:rPr>
          <w:color w:val="000000" w:themeColor="text1"/>
          <w:sz w:val="28"/>
          <w:szCs w:val="28"/>
        </w:rPr>
        <w:t>По графику видно, что основную часть составляют возвраты средств в федеральный бюджет</w:t>
      </w:r>
      <w:r w:rsidR="006A603A" w:rsidRPr="006807F9">
        <w:rPr>
          <w:color w:val="000000" w:themeColor="text1"/>
          <w:sz w:val="28"/>
          <w:szCs w:val="28"/>
        </w:rPr>
        <w:t xml:space="preserve"> (основу оставляют возвраты субвенций, субсидий, иных межбюджетных трансфертов).</w:t>
      </w:r>
      <w:r w:rsidR="00B238E6" w:rsidRPr="006807F9">
        <w:rPr>
          <w:color w:val="000000" w:themeColor="text1"/>
          <w:sz w:val="28"/>
          <w:szCs w:val="28"/>
        </w:rPr>
        <w:t xml:space="preserve"> На 2м место возвраты с бюджет субъекта (Иркутская область).</w:t>
      </w:r>
    </w:p>
    <w:p w14:paraId="7CE80832" w14:textId="77777777" w:rsidR="00B238E6" w:rsidRDefault="003906E6" w:rsidP="0078037A">
      <w:pPr>
        <w:pStyle w:val="pboth"/>
        <w:spacing w:before="0" w:beforeAutospacing="0" w:after="0" w:afterAutospacing="0"/>
        <w:ind w:firstLine="567"/>
        <w:jc w:val="both"/>
        <w:rPr>
          <w:bCs/>
          <w:color w:val="000000" w:themeColor="text1"/>
          <w:sz w:val="28"/>
          <w:szCs w:val="28"/>
          <w:shd w:val="clear" w:color="auto" w:fill="FFFFFF"/>
        </w:rPr>
      </w:pPr>
      <w:r w:rsidRPr="006807F9">
        <w:rPr>
          <w:bCs/>
          <w:color w:val="000000" w:themeColor="text1"/>
          <w:sz w:val="28"/>
          <w:szCs w:val="28"/>
          <w:shd w:val="clear" w:color="auto" w:fill="FFFFFF"/>
        </w:rPr>
        <w:t>Администратор</w:t>
      </w:r>
      <w:r w:rsidRPr="006807F9">
        <w:rPr>
          <w:color w:val="000000" w:themeColor="text1"/>
          <w:sz w:val="28"/>
          <w:szCs w:val="28"/>
          <w:shd w:val="clear" w:color="auto" w:fill="FFFFFF"/>
        </w:rPr>
        <w:t> </w:t>
      </w:r>
      <w:r w:rsidRPr="006807F9">
        <w:rPr>
          <w:bCs/>
          <w:color w:val="000000" w:themeColor="text1"/>
          <w:sz w:val="28"/>
          <w:szCs w:val="28"/>
          <w:shd w:val="clear" w:color="auto" w:fill="FFFFFF"/>
        </w:rPr>
        <w:t>доходов</w:t>
      </w:r>
      <w:r w:rsidRPr="006807F9">
        <w:rPr>
          <w:color w:val="000000" w:themeColor="text1"/>
          <w:sz w:val="28"/>
          <w:szCs w:val="28"/>
          <w:shd w:val="clear" w:color="auto" w:fill="FFFFFF"/>
        </w:rPr>
        <w:t> </w:t>
      </w:r>
      <w:r w:rsidRPr="006807F9">
        <w:rPr>
          <w:bCs/>
          <w:color w:val="000000" w:themeColor="text1"/>
          <w:sz w:val="28"/>
          <w:szCs w:val="28"/>
          <w:shd w:val="clear" w:color="auto" w:fill="FFFFFF"/>
        </w:rPr>
        <w:t>бюджетов</w:t>
      </w:r>
      <w:r w:rsidRPr="006807F9">
        <w:rPr>
          <w:color w:val="000000" w:themeColor="text1"/>
          <w:sz w:val="28"/>
          <w:szCs w:val="28"/>
          <w:shd w:val="clear" w:color="auto" w:fill="FFFFFF"/>
        </w:rPr>
        <w:t> </w:t>
      </w:r>
      <w:r w:rsidRPr="006807F9">
        <w:rPr>
          <w:bCs/>
          <w:color w:val="000000" w:themeColor="text1"/>
          <w:sz w:val="28"/>
          <w:szCs w:val="28"/>
          <w:shd w:val="clear" w:color="auto" w:fill="FFFFFF"/>
        </w:rPr>
        <w:t>принимает</w:t>
      </w:r>
      <w:r w:rsidRPr="006807F9">
        <w:rPr>
          <w:color w:val="000000" w:themeColor="text1"/>
          <w:sz w:val="28"/>
          <w:szCs w:val="28"/>
          <w:shd w:val="clear" w:color="auto" w:fill="FFFFFF"/>
        </w:rPr>
        <w:t> </w:t>
      </w:r>
      <w:r w:rsidRPr="006807F9">
        <w:rPr>
          <w:bCs/>
          <w:color w:val="000000" w:themeColor="text1"/>
          <w:sz w:val="28"/>
          <w:szCs w:val="28"/>
          <w:shd w:val="clear" w:color="auto" w:fill="FFFFFF"/>
        </w:rPr>
        <w:t>решения</w:t>
      </w:r>
      <w:r w:rsidRPr="006807F9">
        <w:rPr>
          <w:color w:val="000000" w:themeColor="text1"/>
          <w:sz w:val="28"/>
          <w:szCs w:val="28"/>
          <w:shd w:val="clear" w:color="auto" w:fill="FFFFFF"/>
        </w:rPr>
        <w:t> </w:t>
      </w:r>
      <w:r w:rsidRPr="006807F9">
        <w:rPr>
          <w:bCs/>
          <w:color w:val="000000" w:themeColor="text1"/>
          <w:sz w:val="28"/>
          <w:szCs w:val="28"/>
          <w:shd w:val="clear" w:color="auto" w:fill="FFFFFF"/>
        </w:rPr>
        <w:t>о</w:t>
      </w:r>
      <w:r w:rsidRPr="006807F9">
        <w:rPr>
          <w:color w:val="000000" w:themeColor="text1"/>
          <w:sz w:val="28"/>
          <w:szCs w:val="28"/>
          <w:shd w:val="clear" w:color="auto" w:fill="FFFFFF"/>
        </w:rPr>
        <w:t> </w:t>
      </w:r>
      <w:r w:rsidRPr="006807F9">
        <w:rPr>
          <w:bCs/>
          <w:color w:val="000000" w:themeColor="text1"/>
          <w:sz w:val="28"/>
          <w:szCs w:val="28"/>
          <w:shd w:val="clear" w:color="auto" w:fill="FFFFFF"/>
        </w:rPr>
        <w:t>возврате</w:t>
      </w:r>
      <w:r w:rsidRPr="006807F9">
        <w:rPr>
          <w:color w:val="000000" w:themeColor="text1"/>
          <w:sz w:val="28"/>
          <w:szCs w:val="28"/>
          <w:shd w:val="clear" w:color="auto" w:fill="FFFFFF"/>
        </w:rPr>
        <w:t> излишн</w:t>
      </w:r>
      <w:r w:rsidR="00652B49">
        <w:rPr>
          <w:color w:val="000000" w:themeColor="text1"/>
          <w:sz w:val="28"/>
          <w:szCs w:val="28"/>
          <w:shd w:val="clear" w:color="auto" w:fill="FFFFFF"/>
        </w:rPr>
        <w:t xml:space="preserve">е </w:t>
      </w:r>
      <w:r w:rsidRPr="006807F9">
        <w:rPr>
          <w:color w:val="000000" w:themeColor="text1"/>
          <w:sz w:val="28"/>
          <w:szCs w:val="28"/>
          <w:shd w:val="clear" w:color="auto" w:fill="FFFFFF"/>
        </w:rPr>
        <w:t>уплаченных (взысканных) платежей в </w:t>
      </w:r>
      <w:r w:rsidRPr="006807F9">
        <w:rPr>
          <w:bCs/>
          <w:color w:val="000000" w:themeColor="text1"/>
          <w:sz w:val="28"/>
          <w:szCs w:val="28"/>
          <w:shd w:val="clear" w:color="auto" w:fill="FFFFFF"/>
        </w:rPr>
        <w:t>бюджеты</w:t>
      </w:r>
      <w:r w:rsidRPr="006807F9">
        <w:rPr>
          <w:color w:val="000000" w:themeColor="text1"/>
          <w:sz w:val="28"/>
          <w:szCs w:val="28"/>
          <w:shd w:val="clear" w:color="auto" w:fill="FFFFFF"/>
        </w:rPr>
        <w:t xml:space="preserve"> и представляет </w:t>
      </w:r>
      <w:r w:rsidR="006807F9" w:rsidRPr="006807F9">
        <w:rPr>
          <w:color w:val="000000" w:themeColor="text1"/>
          <w:sz w:val="28"/>
          <w:szCs w:val="28"/>
          <w:shd w:val="clear" w:color="auto" w:fill="FFFFFF"/>
        </w:rPr>
        <w:t>документ «Заявка на возврат» в</w:t>
      </w:r>
      <w:r w:rsidRPr="006807F9">
        <w:rPr>
          <w:color w:val="000000" w:themeColor="text1"/>
          <w:sz w:val="28"/>
          <w:szCs w:val="28"/>
          <w:shd w:val="clear" w:color="auto" w:fill="FFFFFF"/>
        </w:rPr>
        <w:t> </w:t>
      </w:r>
      <w:r w:rsidRPr="006807F9">
        <w:rPr>
          <w:bCs/>
          <w:color w:val="000000" w:themeColor="text1"/>
          <w:sz w:val="28"/>
          <w:szCs w:val="28"/>
          <w:shd w:val="clear" w:color="auto" w:fill="FFFFFF"/>
        </w:rPr>
        <w:t>орган</w:t>
      </w:r>
      <w:r w:rsidRPr="006807F9">
        <w:rPr>
          <w:color w:val="000000" w:themeColor="text1"/>
          <w:sz w:val="28"/>
          <w:szCs w:val="28"/>
          <w:shd w:val="clear" w:color="auto" w:fill="FFFFFF"/>
        </w:rPr>
        <w:t> </w:t>
      </w:r>
      <w:r w:rsidRPr="006807F9">
        <w:rPr>
          <w:bCs/>
          <w:color w:val="000000" w:themeColor="text1"/>
          <w:sz w:val="28"/>
          <w:szCs w:val="28"/>
          <w:shd w:val="clear" w:color="auto" w:fill="FFFFFF"/>
        </w:rPr>
        <w:t>Федерального</w:t>
      </w:r>
      <w:r w:rsidRPr="006807F9">
        <w:rPr>
          <w:color w:val="000000" w:themeColor="text1"/>
          <w:sz w:val="28"/>
          <w:szCs w:val="28"/>
          <w:shd w:val="clear" w:color="auto" w:fill="FFFFFF"/>
        </w:rPr>
        <w:t> казначейства для осуществления </w:t>
      </w:r>
      <w:r w:rsidRPr="006807F9">
        <w:rPr>
          <w:bCs/>
          <w:color w:val="000000" w:themeColor="text1"/>
          <w:sz w:val="28"/>
          <w:szCs w:val="28"/>
          <w:shd w:val="clear" w:color="auto" w:fill="FFFFFF"/>
        </w:rPr>
        <w:t>возврата</w:t>
      </w:r>
      <w:r w:rsidR="006807F9" w:rsidRPr="006807F9">
        <w:rPr>
          <w:bCs/>
          <w:color w:val="000000" w:themeColor="text1"/>
          <w:sz w:val="28"/>
          <w:szCs w:val="28"/>
          <w:shd w:val="clear" w:color="auto" w:fill="FFFFFF"/>
        </w:rPr>
        <w:t>.</w:t>
      </w:r>
    </w:p>
    <w:p w14:paraId="6C8F6098" w14:textId="77777777" w:rsidR="00EB5D68" w:rsidRPr="006807F9" w:rsidRDefault="00EB5D68" w:rsidP="0078037A">
      <w:pPr>
        <w:pStyle w:val="pboth"/>
        <w:spacing w:before="0" w:beforeAutospacing="0" w:after="0" w:afterAutospacing="0"/>
        <w:ind w:firstLine="567"/>
        <w:jc w:val="both"/>
        <w:rPr>
          <w:color w:val="000000" w:themeColor="text1"/>
          <w:sz w:val="28"/>
          <w:szCs w:val="28"/>
        </w:rPr>
      </w:pPr>
    </w:p>
    <w:p w14:paraId="53799FED" w14:textId="77777777" w:rsidR="00F40792" w:rsidRPr="006807F9" w:rsidRDefault="005B1E8B" w:rsidP="0078037A">
      <w:pPr>
        <w:pStyle w:val="pboth"/>
        <w:spacing w:before="0" w:beforeAutospacing="0" w:after="0" w:afterAutospacing="0"/>
        <w:ind w:firstLine="567"/>
        <w:jc w:val="both"/>
        <w:rPr>
          <w:color w:val="000000" w:themeColor="text1"/>
          <w:sz w:val="28"/>
          <w:szCs w:val="28"/>
        </w:rPr>
      </w:pPr>
      <w:r w:rsidRPr="006807F9">
        <w:rPr>
          <w:color w:val="000000" w:themeColor="text1"/>
          <w:sz w:val="28"/>
          <w:szCs w:val="28"/>
        </w:rPr>
        <w:t xml:space="preserve">Таблица </w:t>
      </w:r>
      <w:r w:rsidR="001D74E9" w:rsidRPr="006807F9">
        <w:rPr>
          <w:color w:val="000000" w:themeColor="text1"/>
          <w:sz w:val="28"/>
          <w:szCs w:val="28"/>
        </w:rPr>
        <w:t>2</w:t>
      </w:r>
      <w:r w:rsidRPr="006807F9">
        <w:rPr>
          <w:color w:val="000000" w:themeColor="text1"/>
          <w:sz w:val="28"/>
          <w:szCs w:val="28"/>
        </w:rPr>
        <w:t>.</w:t>
      </w:r>
      <w:r w:rsidR="00F40792" w:rsidRPr="006807F9">
        <w:rPr>
          <w:color w:val="000000" w:themeColor="text1"/>
          <w:sz w:val="28"/>
          <w:szCs w:val="28"/>
        </w:rPr>
        <w:t xml:space="preserve"> </w:t>
      </w:r>
      <w:r w:rsidR="00EA3D3C" w:rsidRPr="006807F9">
        <w:rPr>
          <w:color w:val="000000" w:themeColor="text1"/>
          <w:sz w:val="28"/>
          <w:szCs w:val="28"/>
        </w:rPr>
        <w:t>Анализ поступивших Заявок на возврат от администраторов доходов бюджета</w:t>
      </w:r>
      <w:r w:rsidR="00382BBF" w:rsidRPr="006807F9">
        <w:rPr>
          <w:color w:val="000000" w:themeColor="text1"/>
          <w:sz w:val="28"/>
          <w:szCs w:val="28"/>
        </w:rPr>
        <w:t xml:space="preserve"> порядок возврата которых не установлен федеральными законами</w:t>
      </w:r>
      <w:r w:rsidR="00251D4D" w:rsidRPr="006807F9">
        <w:rPr>
          <w:color w:val="000000" w:themeColor="text1"/>
          <w:sz w:val="28"/>
          <w:szCs w:val="28"/>
        </w:rPr>
        <w:t xml:space="preserve"> [8]</w:t>
      </w:r>
      <w:r w:rsidR="00382BBF" w:rsidRPr="006807F9">
        <w:rPr>
          <w:color w:val="000000" w:themeColor="text1"/>
          <w:sz w:val="28"/>
          <w:szCs w:val="28"/>
        </w:rPr>
        <w:t>.</w:t>
      </w:r>
    </w:p>
    <w:p w14:paraId="7BF938E9" w14:textId="77777777" w:rsidR="007D0496" w:rsidRDefault="007D0496" w:rsidP="0078037A">
      <w:pPr>
        <w:pStyle w:val="pboth"/>
        <w:spacing w:before="0" w:beforeAutospacing="0" w:after="0" w:afterAutospacing="0"/>
        <w:ind w:firstLine="567"/>
        <w:jc w:val="both"/>
        <w:rPr>
          <w:color w:val="000000" w:themeColor="text1"/>
          <w:sz w:val="28"/>
          <w:szCs w:val="28"/>
        </w:rPr>
      </w:pPr>
    </w:p>
    <w:tbl>
      <w:tblPr>
        <w:tblStyle w:val="a6"/>
        <w:tblW w:w="0" w:type="auto"/>
        <w:tblInd w:w="250" w:type="dxa"/>
        <w:tblLayout w:type="fixed"/>
        <w:tblLook w:val="04A0" w:firstRow="1" w:lastRow="0" w:firstColumn="1" w:lastColumn="0" w:noHBand="0" w:noVBand="1"/>
      </w:tblPr>
      <w:tblGrid>
        <w:gridCol w:w="1701"/>
        <w:gridCol w:w="1276"/>
        <w:gridCol w:w="1559"/>
        <w:gridCol w:w="1267"/>
        <w:gridCol w:w="1267"/>
        <w:gridCol w:w="18"/>
        <w:gridCol w:w="1249"/>
        <w:gridCol w:w="1267"/>
      </w:tblGrid>
      <w:tr w:rsidR="006C41C8" w14:paraId="75CC1FD8" w14:textId="77777777" w:rsidTr="007177A5">
        <w:tc>
          <w:tcPr>
            <w:tcW w:w="1701" w:type="dxa"/>
            <w:vMerge w:val="restart"/>
          </w:tcPr>
          <w:p w14:paraId="23093F7A" w14:textId="77777777" w:rsidR="00DE6EB1" w:rsidRPr="00EB5D68" w:rsidRDefault="0048152D" w:rsidP="008B0656">
            <w:pPr>
              <w:pStyle w:val="pboth"/>
              <w:spacing w:before="0" w:beforeAutospacing="0" w:after="0" w:afterAutospacing="0"/>
              <w:jc w:val="center"/>
              <w:rPr>
                <w:color w:val="000000" w:themeColor="text1"/>
              </w:rPr>
            </w:pPr>
            <w:r w:rsidRPr="00EB5D68">
              <w:rPr>
                <w:color w:val="000000" w:themeColor="text1"/>
              </w:rPr>
              <w:t>Заявки, которые поступили</w:t>
            </w:r>
            <w:r w:rsidR="008B0656" w:rsidRPr="00EB5D68">
              <w:rPr>
                <w:color w:val="000000" w:themeColor="text1"/>
              </w:rPr>
              <w:t xml:space="preserve"> из бюджетов бюджетной системы РФ</w:t>
            </w:r>
          </w:p>
        </w:tc>
        <w:tc>
          <w:tcPr>
            <w:tcW w:w="1276" w:type="dxa"/>
            <w:vMerge w:val="restart"/>
          </w:tcPr>
          <w:p w14:paraId="34D4F679" w14:textId="77777777" w:rsidR="00DE6EB1" w:rsidRPr="00EB5D68" w:rsidRDefault="00DE6EB1" w:rsidP="0048152D">
            <w:pPr>
              <w:pStyle w:val="pboth"/>
              <w:spacing w:before="0" w:beforeAutospacing="0" w:after="0" w:afterAutospacing="0"/>
              <w:jc w:val="center"/>
              <w:rPr>
                <w:color w:val="000000" w:themeColor="text1"/>
              </w:rPr>
            </w:pPr>
            <w:r w:rsidRPr="00EB5D68">
              <w:rPr>
                <w:color w:val="000000" w:themeColor="text1"/>
              </w:rPr>
              <w:t>Количество (тыс. ед.)</w:t>
            </w:r>
          </w:p>
        </w:tc>
        <w:tc>
          <w:tcPr>
            <w:tcW w:w="1559" w:type="dxa"/>
            <w:vMerge w:val="restart"/>
          </w:tcPr>
          <w:p w14:paraId="690060E9" w14:textId="77777777" w:rsidR="00DE6EB1" w:rsidRPr="00EB5D68" w:rsidRDefault="00DE6EB1" w:rsidP="0048152D">
            <w:pPr>
              <w:pStyle w:val="pboth"/>
              <w:spacing w:before="0" w:beforeAutospacing="0" w:after="0" w:afterAutospacing="0"/>
              <w:jc w:val="center"/>
              <w:rPr>
                <w:color w:val="000000" w:themeColor="text1"/>
              </w:rPr>
            </w:pPr>
            <w:r w:rsidRPr="00EB5D68">
              <w:rPr>
                <w:color w:val="000000" w:themeColor="text1"/>
              </w:rPr>
              <w:t>Сумма (млн.руб.)</w:t>
            </w:r>
          </w:p>
        </w:tc>
        <w:tc>
          <w:tcPr>
            <w:tcW w:w="2552" w:type="dxa"/>
            <w:gridSpan w:val="3"/>
          </w:tcPr>
          <w:p w14:paraId="4E92CC7F" w14:textId="77777777" w:rsidR="00DE6EB1" w:rsidRPr="00EB5D68" w:rsidRDefault="00DE6EB1" w:rsidP="0048152D">
            <w:pPr>
              <w:pStyle w:val="pboth"/>
              <w:spacing w:before="0" w:beforeAutospacing="0" w:after="0" w:afterAutospacing="0"/>
              <w:jc w:val="center"/>
              <w:rPr>
                <w:color w:val="000000" w:themeColor="text1"/>
              </w:rPr>
            </w:pPr>
            <w:r w:rsidRPr="00EB5D68">
              <w:rPr>
                <w:color w:val="000000" w:themeColor="text1"/>
              </w:rPr>
              <w:t>Исполнены</w:t>
            </w:r>
          </w:p>
        </w:tc>
        <w:tc>
          <w:tcPr>
            <w:tcW w:w="2516" w:type="dxa"/>
            <w:gridSpan w:val="2"/>
          </w:tcPr>
          <w:p w14:paraId="70BBF5A8" w14:textId="77777777" w:rsidR="00DE6EB1" w:rsidRPr="00EB5D68" w:rsidRDefault="00DE6EB1" w:rsidP="0048152D">
            <w:pPr>
              <w:pStyle w:val="pboth"/>
              <w:spacing w:before="0" w:beforeAutospacing="0" w:after="0" w:afterAutospacing="0"/>
              <w:jc w:val="center"/>
              <w:rPr>
                <w:color w:val="000000" w:themeColor="text1"/>
              </w:rPr>
            </w:pPr>
            <w:r w:rsidRPr="00EB5D68">
              <w:rPr>
                <w:color w:val="000000" w:themeColor="text1"/>
              </w:rPr>
              <w:t>Отклонены</w:t>
            </w:r>
          </w:p>
        </w:tc>
      </w:tr>
      <w:tr w:rsidR="0048152D" w14:paraId="21CA8C0E" w14:textId="77777777" w:rsidTr="007177A5">
        <w:trPr>
          <w:trHeight w:val="1071"/>
        </w:trPr>
        <w:tc>
          <w:tcPr>
            <w:tcW w:w="1701" w:type="dxa"/>
            <w:vMerge/>
          </w:tcPr>
          <w:p w14:paraId="32EE9E60" w14:textId="77777777" w:rsidR="00DE6EB1" w:rsidRPr="00EB5D68" w:rsidRDefault="00DE6EB1" w:rsidP="0078037A">
            <w:pPr>
              <w:pStyle w:val="pboth"/>
              <w:spacing w:before="0" w:beforeAutospacing="0" w:after="0" w:afterAutospacing="0"/>
              <w:jc w:val="both"/>
              <w:rPr>
                <w:color w:val="000000" w:themeColor="text1"/>
              </w:rPr>
            </w:pPr>
          </w:p>
        </w:tc>
        <w:tc>
          <w:tcPr>
            <w:tcW w:w="1276" w:type="dxa"/>
            <w:vMerge/>
          </w:tcPr>
          <w:p w14:paraId="073E9AED" w14:textId="77777777" w:rsidR="00DE6EB1" w:rsidRPr="00EB5D68" w:rsidRDefault="00DE6EB1" w:rsidP="0078037A">
            <w:pPr>
              <w:pStyle w:val="pboth"/>
              <w:spacing w:before="0" w:beforeAutospacing="0" w:after="0" w:afterAutospacing="0"/>
              <w:jc w:val="both"/>
              <w:rPr>
                <w:color w:val="000000" w:themeColor="text1"/>
              </w:rPr>
            </w:pPr>
          </w:p>
        </w:tc>
        <w:tc>
          <w:tcPr>
            <w:tcW w:w="1559" w:type="dxa"/>
            <w:vMerge/>
          </w:tcPr>
          <w:p w14:paraId="07CA259B" w14:textId="77777777" w:rsidR="00DE6EB1" w:rsidRPr="00EB5D68" w:rsidRDefault="00DE6EB1" w:rsidP="0078037A">
            <w:pPr>
              <w:pStyle w:val="pboth"/>
              <w:spacing w:before="0" w:beforeAutospacing="0" w:after="0" w:afterAutospacing="0"/>
              <w:jc w:val="both"/>
              <w:rPr>
                <w:color w:val="000000" w:themeColor="text1"/>
              </w:rPr>
            </w:pPr>
          </w:p>
        </w:tc>
        <w:tc>
          <w:tcPr>
            <w:tcW w:w="1267" w:type="dxa"/>
          </w:tcPr>
          <w:p w14:paraId="711164ED" w14:textId="77777777" w:rsidR="00DE6EB1" w:rsidRPr="00EB5D68" w:rsidRDefault="00DE6EB1" w:rsidP="000A6414">
            <w:pPr>
              <w:pStyle w:val="pboth"/>
              <w:spacing w:before="0" w:beforeAutospacing="0" w:after="0" w:afterAutospacing="0"/>
              <w:jc w:val="center"/>
              <w:rPr>
                <w:color w:val="000000" w:themeColor="text1"/>
              </w:rPr>
            </w:pPr>
            <w:r w:rsidRPr="00EB5D68">
              <w:rPr>
                <w:color w:val="000000" w:themeColor="text1"/>
              </w:rPr>
              <w:t>Количество (</w:t>
            </w:r>
            <w:proofErr w:type="spellStart"/>
            <w:r w:rsidRPr="00EB5D68">
              <w:rPr>
                <w:color w:val="000000" w:themeColor="text1"/>
              </w:rPr>
              <w:t>тыс.ед</w:t>
            </w:r>
            <w:proofErr w:type="spellEnd"/>
            <w:r w:rsidRPr="00EB5D68">
              <w:rPr>
                <w:color w:val="000000" w:themeColor="text1"/>
              </w:rPr>
              <w:t>.)</w:t>
            </w:r>
          </w:p>
        </w:tc>
        <w:tc>
          <w:tcPr>
            <w:tcW w:w="1267" w:type="dxa"/>
          </w:tcPr>
          <w:p w14:paraId="4359CC16" w14:textId="77777777" w:rsidR="00DE6EB1" w:rsidRPr="00EB5D68" w:rsidRDefault="00DE6EB1" w:rsidP="000A6414">
            <w:pPr>
              <w:pStyle w:val="pboth"/>
              <w:spacing w:before="0" w:beforeAutospacing="0" w:after="0" w:afterAutospacing="0"/>
              <w:jc w:val="center"/>
              <w:rPr>
                <w:color w:val="000000" w:themeColor="text1"/>
              </w:rPr>
            </w:pPr>
            <w:r w:rsidRPr="00EB5D68">
              <w:rPr>
                <w:color w:val="000000" w:themeColor="text1"/>
              </w:rPr>
              <w:t>Сумма (млн.руб.)</w:t>
            </w:r>
          </w:p>
        </w:tc>
        <w:tc>
          <w:tcPr>
            <w:tcW w:w="1267" w:type="dxa"/>
            <w:gridSpan w:val="2"/>
          </w:tcPr>
          <w:p w14:paraId="66F748B9" w14:textId="77777777" w:rsidR="00DE6EB1" w:rsidRPr="00EB5D68" w:rsidRDefault="00DE6EB1" w:rsidP="000A6414">
            <w:pPr>
              <w:pStyle w:val="pboth"/>
              <w:spacing w:before="0" w:beforeAutospacing="0" w:after="0" w:afterAutospacing="0"/>
              <w:jc w:val="center"/>
              <w:rPr>
                <w:color w:val="000000" w:themeColor="text1"/>
              </w:rPr>
            </w:pPr>
            <w:r w:rsidRPr="00EB5D68">
              <w:rPr>
                <w:color w:val="000000" w:themeColor="text1"/>
              </w:rPr>
              <w:t>Количество (</w:t>
            </w:r>
            <w:proofErr w:type="spellStart"/>
            <w:r w:rsidRPr="00EB5D68">
              <w:rPr>
                <w:color w:val="000000" w:themeColor="text1"/>
              </w:rPr>
              <w:t>тыс.ед</w:t>
            </w:r>
            <w:proofErr w:type="spellEnd"/>
            <w:r w:rsidRPr="00EB5D68">
              <w:rPr>
                <w:color w:val="000000" w:themeColor="text1"/>
              </w:rPr>
              <w:t>.)</w:t>
            </w:r>
          </w:p>
        </w:tc>
        <w:tc>
          <w:tcPr>
            <w:tcW w:w="1267" w:type="dxa"/>
          </w:tcPr>
          <w:p w14:paraId="37ADCE27" w14:textId="77777777" w:rsidR="00DE6EB1" w:rsidRPr="00EB5D68" w:rsidRDefault="00DE6EB1" w:rsidP="000A6414">
            <w:pPr>
              <w:pStyle w:val="pboth"/>
              <w:spacing w:before="0" w:beforeAutospacing="0" w:after="0" w:afterAutospacing="0"/>
              <w:jc w:val="center"/>
              <w:rPr>
                <w:color w:val="000000" w:themeColor="text1"/>
              </w:rPr>
            </w:pPr>
            <w:r w:rsidRPr="00EB5D68">
              <w:rPr>
                <w:color w:val="000000" w:themeColor="text1"/>
              </w:rPr>
              <w:t>Сумма (млн.руб.)</w:t>
            </w:r>
          </w:p>
        </w:tc>
      </w:tr>
      <w:tr w:rsidR="008B41F3" w14:paraId="03DCB9AD" w14:textId="77777777" w:rsidTr="0049799E">
        <w:trPr>
          <w:trHeight w:val="416"/>
        </w:trPr>
        <w:tc>
          <w:tcPr>
            <w:tcW w:w="1701" w:type="dxa"/>
          </w:tcPr>
          <w:p w14:paraId="726BBF69" w14:textId="77777777" w:rsidR="008B41F3" w:rsidRPr="00EB5D68" w:rsidRDefault="008B41F3" w:rsidP="0078037A">
            <w:pPr>
              <w:pStyle w:val="pboth"/>
              <w:spacing w:before="0" w:beforeAutospacing="0" w:after="0" w:afterAutospacing="0"/>
              <w:jc w:val="both"/>
              <w:rPr>
                <w:color w:val="000000" w:themeColor="text1"/>
              </w:rPr>
            </w:pPr>
            <w:r w:rsidRPr="00EB5D68">
              <w:rPr>
                <w:color w:val="000000" w:themeColor="text1"/>
              </w:rPr>
              <w:t>2019 г.</w:t>
            </w:r>
          </w:p>
        </w:tc>
        <w:tc>
          <w:tcPr>
            <w:tcW w:w="1276" w:type="dxa"/>
          </w:tcPr>
          <w:p w14:paraId="2A9B268B" w14:textId="77777777" w:rsidR="008B41F3" w:rsidRPr="00EB5D68" w:rsidRDefault="00382BBF" w:rsidP="000A6414">
            <w:pPr>
              <w:pStyle w:val="pboth"/>
              <w:spacing w:before="0" w:beforeAutospacing="0" w:after="0" w:afterAutospacing="0"/>
              <w:jc w:val="center"/>
              <w:rPr>
                <w:color w:val="000000" w:themeColor="text1"/>
              </w:rPr>
            </w:pPr>
            <w:r w:rsidRPr="00EB5D68">
              <w:rPr>
                <w:color w:val="000000" w:themeColor="text1"/>
              </w:rPr>
              <w:t>13,1</w:t>
            </w:r>
          </w:p>
        </w:tc>
        <w:tc>
          <w:tcPr>
            <w:tcW w:w="1559" w:type="dxa"/>
          </w:tcPr>
          <w:p w14:paraId="1D225EAA" w14:textId="77777777" w:rsidR="008B41F3" w:rsidRPr="00EB5D68" w:rsidRDefault="00382BBF" w:rsidP="000A6414">
            <w:pPr>
              <w:pStyle w:val="pboth"/>
              <w:spacing w:before="0" w:beforeAutospacing="0" w:after="0" w:afterAutospacing="0"/>
              <w:jc w:val="center"/>
              <w:rPr>
                <w:color w:val="000000" w:themeColor="text1"/>
              </w:rPr>
            </w:pPr>
            <w:r w:rsidRPr="00EB5D68">
              <w:t>1 316,2</w:t>
            </w:r>
          </w:p>
        </w:tc>
        <w:tc>
          <w:tcPr>
            <w:tcW w:w="1267" w:type="dxa"/>
          </w:tcPr>
          <w:p w14:paraId="4A967420" w14:textId="77777777" w:rsidR="008B41F3" w:rsidRPr="00EB5D68" w:rsidRDefault="00382BBF" w:rsidP="000A6414">
            <w:pPr>
              <w:pStyle w:val="pboth"/>
              <w:spacing w:before="0" w:beforeAutospacing="0" w:after="0" w:afterAutospacing="0"/>
              <w:jc w:val="center"/>
              <w:rPr>
                <w:color w:val="000000" w:themeColor="text1"/>
              </w:rPr>
            </w:pPr>
            <w:r w:rsidRPr="00EB5D68">
              <w:rPr>
                <w:color w:val="000000" w:themeColor="text1"/>
              </w:rPr>
              <w:t>7,9</w:t>
            </w:r>
          </w:p>
        </w:tc>
        <w:tc>
          <w:tcPr>
            <w:tcW w:w="1267" w:type="dxa"/>
          </w:tcPr>
          <w:p w14:paraId="08F1DDB3" w14:textId="77777777" w:rsidR="008B41F3" w:rsidRPr="00EB5D68" w:rsidRDefault="00382BBF" w:rsidP="000A6414">
            <w:pPr>
              <w:pStyle w:val="pboth"/>
              <w:spacing w:before="0" w:beforeAutospacing="0" w:after="0" w:afterAutospacing="0"/>
              <w:jc w:val="center"/>
              <w:rPr>
                <w:color w:val="000000" w:themeColor="text1"/>
              </w:rPr>
            </w:pPr>
            <w:r w:rsidRPr="00EB5D68">
              <w:t>723,8</w:t>
            </w:r>
          </w:p>
        </w:tc>
        <w:tc>
          <w:tcPr>
            <w:tcW w:w="1267" w:type="dxa"/>
            <w:gridSpan w:val="2"/>
          </w:tcPr>
          <w:p w14:paraId="41D2C8FC" w14:textId="77777777" w:rsidR="008B41F3" w:rsidRPr="00EB5D68" w:rsidRDefault="000F5EB9" w:rsidP="00B9176E">
            <w:pPr>
              <w:pStyle w:val="pboth"/>
              <w:spacing w:before="0" w:beforeAutospacing="0" w:after="0" w:afterAutospacing="0"/>
              <w:jc w:val="center"/>
              <w:rPr>
                <w:color w:val="000000" w:themeColor="text1"/>
              </w:rPr>
            </w:pPr>
            <w:r w:rsidRPr="00EB5D68">
              <w:rPr>
                <w:color w:val="000000" w:themeColor="text1"/>
              </w:rPr>
              <w:t>5,2</w:t>
            </w:r>
          </w:p>
        </w:tc>
        <w:tc>
          <w:tcPr>
            <w:tcW w:w="1267" w:type="dxa"/>
          </w:tcPr>
          <w:p w14:paraId="4E7544C9" w14:textId="77777777" w:rsidR="008B41F3" w:rsidRPr="00EB5D68" w:rsidRDefault="000F5EB9" w:rsidP="000A6414">
            <w:pPr>
              <w:pStyle w:val="pboth"/>
              <w:spacing w:before="0" w:beforeAutospacing="0" w:after="0" w:afterAutospacing="0"/>
              <w:jc w:val="center"/>
              <w:rPr>
                <w:color w:val="000000" w:themeColor="text1"/>
              </w:rPr>
            </w:pPr>
            <w:r w:rsidRPr="00EB5D68">
              <w:rPr>
                <w:color w:val="000000" w:themeColor="text1"/>
              </w:rPr>
              <w:t>592,4</w:t>
            </w:r>
          </w:p>
        </w:tc>
      </w:tr>
      <w:tr w:rsidR="007B78A0" w14:paraId="10369A37" w14:textId="77777777" w:rsidTr="0049799E">
        <w:trPr>
          <w:trHeight w:val="416"/>
        </w:trPr>
        <w:tc>
          <w:tcPr>
            <w:tcW w:w="1701" w:type="dxa"/>
          </w:tcPr>
          <w:p w14:paraId="45CBCF7B" w14:textId="77777777" w:rsidR="007B78A0" w:rsidRPr="00EB5D68" w:rsidRDefault="007B78A0" w:rsidP="007B78A0">
            <w:pPr>
              <w:pStyle w:val="pboth"/>
              <w:spacing w:before="0" w:beforeAutospacing="0" w:after="0" w:afterAutospacing="0"/>
              <w:jc w:val="both"/>
              <w:rPr>
                <w:color w:val="000000" w:themeColor="text1"/>
              </w:rPr>
            </w:pPr>
            <w:r w:rsidRPr="00EB5D68">
              <w:rPr>
                <w:color w:val="000000" w:themeColor="text1"/>
              </w:rPr>
              <w:t>2020 г.</w:t>
            </w:r>
          </w:p>
        </w:tc>
        <w:tc>
          <w:tcPr>
            <w:tcW w:w="1276" w:type="dxa"/>
          </w:tcPr>
          <w:p w14:paraId="36E36CEA" w14:textId="77777777" w:rsidR="007B78A0" w:rsidRPr="00EB5D68" w:rsidRDefault="007B78A0" w:rsidP="007B78A0">
            <w:pPr>
              <w:pStyle w:val="pboth"/>
              <w:spacing w:before="0" w:beforeAutospacing="0" w:after="0" w:afterAutospacing="0"/>
              <w:jc w:val="center"/>
              <w:rPr>
                <w:color w:val="000000" w:themeColor="text1"/>
              </w:rPr>
            </w:pPr>
            <w:r w:rsidRPr="00EB5D68">
              <w:rPr>
                <w:color w:val="000000" w:themeColor="text1"/>
              </w:rPr>
              <w:t>18,5</w:t>
            </w:r>
          </w:p>
        </w:tc>
        <w:tc>
          <w:tcPr>
            <w:tcW w:w="1559" w:type="dxa"/>
          </w:tcPr>
          <w:p w14:paraId="4DD60E92" w14:textId="77777777" w:rsidR="007B78A0" w:rsidRPr="00EB5D68" w:rsidRDefault="00382BBF" w:rsidP="007B78A0">
            <w:pPr>
              <w:pStyle w:val="pboth"/>
              <w:spacing w:before="0" w:beforeAutospacing="0" w:after="0" w:afterAutospacing="0"/>
              <w:jc w:val="center"/>
              <w:rPr>
                <w:color w:val="000000" w:themeColor="text1"/>
              </w:rPr>
            </w:pPr>
            <w:r w:rsidRPr="00EB5D68">
              <w:rPr>
                <w:color w:val="000000" w:themeColor="text1"/>
              </w:rPr>
              <w:t>1</w:t>
            </w:r>
            <w:r w:rsidR="007B78A0" w:rsidRPr="00EB5D68">
              <w:rPr>
                <w:color w:val="000000" w:themeColor="text1"/>
              </w:rPr>
              <w:t xml:space="preserve"> 503</w:t>
            </w:r>
          </w:p>
        </w:tc>
        <w:tc>
          <w:tcPr>
            <w:tcW w:w="1267" w:type="dxa"/>
          </w:tcPr>
          <w:p w14:paraId="27F9CE68" w14:textId="77777777" w:rsidR="007B78A0" w:rsidRPr="00EB5D68" w:rsidRDefault="007B78A0" w:rsidP="007B78A0">
            <w:pPr>
              <w:pStyle w:val="pboth"/>
              <w:spacing w:before="0" w:beforeAutospacing="0" w:after="0" w:afterAutospacing="0"/>
              <w:jc w:val="center"/>
              <w:rPr>
                <w:color w:val="000000" w:themeColor="text1"/>
              </w:rPr>
            </w:pPr>
            <w:r w:rsidRPr="00EB5D68">
              <w:rPr>
                <w:color w:val="000000" w:themeColor="text1"/>
              </w:rPr>
              <w:t>13</w:t>
            </w:r>
          </w:p>
        </w:tc>
        <w:tc>
          <w:tcPr>
            <w:tcW w:w="1267" w:type="dxa"/>
          </w:tcPr>
          <w:p w14:paraId="35703DAE" w14:textId="77777777" w:rsidR="007B78A0" w:rsidRPr="00EB5D68" w:rsidRDefault="007B78A0" w:rsidP="007B78A0">
            <w:pPr>
              <w:pStyle w:val="pboth"/>
              <w:spacing w:before="0" w:beforeAutospacing="0" w:after="0" w:afterAutospacing="0"/>
              <w:jc w:val="center"/>
              <w:rPr>
                <w:color w:val="000000" w:themeColor="text1"/>
              </w:rPr>
            </w:pPr>
            <w:r w:rsidRPr="00EB5D68">
              <w:rPr>
                <w:color w:val="000000" w:themeColor="text1"/>
              </w:rPr>
              <w:t>652,6</w:t>
            </w:r>
          </w:p>
        </w:tc>
        <w:tc>
          <w:tcPr>
            <w:tcW w:w="1267" w:type="dxa"/>
            <w:gridSpan w:val="2"/>
          </w:tcPr>
          <w:p w14:paraId="2DFB0425" w14:textId="77777777" w:rsidR="007B78A0" w:rsidRPr="00EB5D68" w:rsidRDefault="007B78A0" w:rsidP="007B78A0">
            <w:pPr>
              <w:pStyle w:val="pboth"/>
              <w:spacing w:before="0" w:beforeAutospacing="0" w:after="0" w:afterAutospacing="0"/>
              <w:jc w:val="center"/>
              <w:rPr>
                <w:color w:val="000000" w:themeColor="text1"/>
              </w:rPr>
            </w:pPr>
            <w:r w:rsidRPr="00EB5D68">
              <w:rPr>
                <w:color w:val="000000" w:themeColor="text1"/>
              </w:rPr>
              <w:t>5,5</w:t>
            </w:r>
          </w:p>
        </w:tc>
        <w:tc>
          <w:tcPr>
            <w:tcW w:w="1267" w:type="dxa"/>
          </w:tcPr>
          <w:p w14:paraId="11DAC14E" w14:textId="77777777" w:rsidR="007B78A0" w:rsidRPr="00EB5D68" w:rsidRDefault="007B78A0" w:rsidP="007B78A0">
            <w:pPr>
              <w:pStyle w:val="pboth"/>
              <w:spacing w:before="0" w:beforeAutospacing="0" w:after="0" w:afterAutospacing="0"/>
              <w:jc w:val="center"/>
              <w:rPr>
                <w:color w:val="000000" w:themeColor="text1"/>
              </w:rPr>
            </w:pPr>
            <w:r w:rsidRPr="00EB5D68">
              <w:rPr>
                <w:color w:val="000000" w:themeColor="text1"/>
              </w:rPr>
              <w:t>850,2</w:t>
            </w:r>
          </w:p>
        </w:tc>
      </w:tr>
    </w:tbl>
    <w:p w14:paraId="19C6F165" w14:textId="77777777" w:rsidR="007D0496" w:rsidRDefault="007D0496" w:rsidP="0078037A">
      <w:pPr>
        <w:pStyle w:val="pboth"/>
        <w:spacing w:before="0" w:beforeAutospacing="0" w:after="0" w:afterAutospacing="0"/>
        <w:ind w:firstLine="567"/>
        <w:jc w:val="both"/>
        <w:rPr>
          <w:color w:val="000000" w:themeColor="text1"/>
          <w:sz w:val="28"/>
          <w:szCs w:val="28"/>
        </w:rPr>
      </w:pPr>
    </w:p>
    <w:p w14:paraId="00277920" w14:textId="77777777" w:rsidR="00652B49" w:rsidRDefault="00652B49" w:rsidP="00253D0A">
      <w:pPr>
        <w:shd w:val="clear" w:color="auto" w:fill="FFFFFF"/>
        <w:ind w:firstLine="567"/>
        <w:jc w:val="both"/>
        <w:rPr>
          <w:color w:val="000000" w:themeColor="text1"/>
          <w:sz w:val="28"/>
          <w:szCs w:val="28"/>
          <w:shd w:val="clear" w:color="auto" w:fill="FFFFFF"/>
        </w:rPr>
      </w:pPr>
      <w:r>
        <w:rPr>
          <w:color w:val="000000" w:themeColor="text1"/>
          <w:sz w:val="28"/>
          <w:szCs w:val="28"/>
          <w:shd w:val="clear" w:color="auto" w:fill="FFFFFF"/>
        </w:rPr>
        <w:t xml:space="preserve">С каждым годом количество Заявок на возврат увеличивается. </w:t>
      </w:r>
      <w:r w:rsidR="00950306">
        <w:rPr>
          <w:color w:val="000000" w:themeColor="text1"/>
          <w:sz w:val="28"/>
          <w:szCs w:val="28"/>
          <w:shd w:val="clear" w:color="auto" w:fill="FFFFFF"/>
        </w:rPr>
        <w:t>Плательщики по разным причинам платят в бюджеты излишние суммы либо платят на неверные реквизиты и соответственно обращаются за возвратом.</w:t>
      </w:r>
    </w:p>
    <w:p w14:paraId="055E7468" w14:textId="77777777" w:rsidR="006B76F6" w:rsidRPr="0049799E" w:rsidRDefault="006B76F6" w:rsidP="00253D0A">
      <w:pPr>
        <w:shd w:val="clear" w:color="auto" w:fill="FFFFFF"/>
        <w:ind w:firstLine="567"/>
        <w:jc w:val="both"/>
        <w:rPr>
          <w:color w:val="000000" w:themeColor="text1"/>
          <w:sz w:val="28"/>
          <w:szCs w:val="28"/>
        </w:rPr>
      </w:pPr>
      <w:r w:rsidRPr="0049799E">
        <w:rPr>
          <w:color w:val="000000" w:themeColor="text1"/>
          <w:sz w:val="28"/>
          <w:szCs w:val="28"/>
          <w:shd w:val="clear" w:color="auto" w:fill="FFFFFF"/>
        </w:rPr>
        <w:t>В случае отсутствия обоснований возврата орган Федерального казначейства отказывает в приеме к исполнению Заявки на возврат, с указанием причины отказа.</w:t>
      </w:r>
    </w:p>
    <w:p w14:paraId="13A45A9B" w14:textId="77777777" w:rsidR="00654085" w:rsidRPr="0049799E" w:rsidRDefault="00253D0A" w:rsidP="00253D0A">
      <w:pPr>
        <w:shd w:val="clear" w:color="auto" w:fill="FFFFFF"/>
        <w:ind w:firstLine="567"/>
        <w:jc w:val="both"/>
        <w:rPr>
          <w:color w:val="000000" w:themeColor="text1"/>
          <w:sz w:val="28"/>
          <w:szCs w:val="28"/>
        </w:rPr>
      </w:pPr>
      <w:r w:rsidRPr="0049799E">
        <w:rPr>
          <w:color w:val="000000" w:themeColor="text1"/>
          <w:sz w:val="28"/>
          <w:szCs w:val="28"/>
        </w:rPr>
        <w:t>Основные причины, по которым Заявки на возврат были отклонены Управлением представлены на рисунке</w:t>
      </w:r>
      <w:r w:rsidR="00D6350D" w:rsidRPr="0049799E">
        <w:rPr>
          <w:color w:val="000000" w:themeColor="text1"/>
          <w:sz w:val="28"/>
          <w:szCs w:val="28"/>
        </w:rPr>
        <w:t xml:space="preserve"> </w:t>
      </w:r>
      <w:r w:rsidR="006807F9">
        <w:rPr>
          <w:color w:val="000000" w:themeColor="text1"/>
          <w:sz w:val="28"/>
          <w:szCs w:val="28"/>
        </w:rPr>
        <w:t>3</w:t>
      </w:r>
      <w:r w:rsidRPr="0049799E">
        <w:rPr>
          <w:color w:val="000000" w:themeColor="text1"/>
          <w:sz w:val="28"/>
          <w:szCs w:val="28"/>
        </w:rPr>
        <w:t xml:space="preserve">. </w:t>
      </w:r>
    </w:p>
    <w:p w14:paraId="23349D3A" w14:textId="77777777" w:rsidR="00AB7726" w:rsidRDefault="00AB7726" w:rsidP="00253D0A">
      <w:pPr>
        <w:shd w:val="clear" w:color="auto" w:fill="FFFFFF"/>
        <w:ind w:firstLine="567"/>
        <w:jc w:val="both"/>
        <w:rPr>
          <w:sz w:val="28"/>
          <w:szCs w:val="28"/>
        </w:rPr>
      </w:pPr>
    </w:p>
    <w:p w14:paraId="34806E1C" w14:textId="77777777" w:rsidR="00654085" w:rsidRDefault="00654085" w:rsidP="00654085">
      <w:pPr>
        <w:shd w:val="clear" w:color="auto" w:fill="FFFFFF"/>
        <w:ind w:firstLine="567"/>
        <w:jc w:val="center"/>
        <w:rPr>
          <w:sz w:val="28"/>
          <w:szCs w:val="28"/>
        </w:rPr>
      </w:pPr>
      <w:r>
        <w:rPr>
          <w:noProof/>
        </w:rPr>
        <w:drawing>
          <wp:inline distT="0" distB="0" distL="0" distR="0" wp14:anchorId="6F2600D1" wp14:editId="1FFA4BC3">
            <wp:extent cx="4714875" cy="2181225"/>
            <wp:effectExtent l="3810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0CF490" w14:textId="77777777" w:rsidR="00EA3D3C" w:rsidRPr="00D236FA" w:rsidRDefault="00EA3D3C" w:rsidP="00D236FA">
      <w:pPr>
        <w:tabs>
          <w:tab w:val="num" w:pos="0"/>
          <w:tab w:val="left" w:pos="1080"/>
        </w:tabs>
        <w:autoSpaceDE w:val="0"/>
        <w:autoSpaceDN w:val="0"/>
        <w:adjustRightInd w:val="0"/>
        <w:ind w:firstLine="567"/>
        <w:jc w:val="both"/>
        <w:rPr>
          <w:color w:val="000000" w:themeColor="text1"/>
          <w:sz w:val="28"/>
          <w:szCs w:val="28"/>
        </w:rPr>
      </w:pPr>
      <w:r w:rsidRPr="00D236FA">
        <w:rPr>
          <w:color w:val="000000" w:themeColor="text1"/>
          <w:sz w:val="28"/>
          <w:szCs w:val="28"/>
        </w:rPr>
        <w:t xml:space="preserve">Рисунок </w:t>
      </w:r>
      <w:r w:rsidR="006807F9">
        <w:rPr>
          <w:color w:val="000000" w:themeColor="text1"/>
          <w:sz w:val="28"/>
          <w:szCs w:val="28"/>
        </w:rPr>
        <w:t>3</w:t>
      </w:r>
      <w:r w:rsidRPr="00D236FA">
        <w:rPr>
          <w:color w:val="000000" w:themeColor="text1"/>
          <w:sz w:val="28"/>
          <w:szCs w:val="28"/>
        </w:rPr>
        <w:t>. Количество отклоненных Управлением Заявок на возврат за 2020 г.</w:t>
      </w:r>
    </w:p>
    <w:p w14:paraId="120F05FB" w14:textId="77777777" w:rsidR="00E275EC" w:rsidRPr="00D236FA" w:rsidRDefault="00DF6F08" w:rsidP="00D236FA">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lastRenderedPageBreak/>
        <w:t>Так же о</w:t>
      </w:r>
      <w:r w:rsidR="00E275EC" w:rsidRPr="00D236FA">
        <w:rPr>
          <w:color w:val="000000" w:themeColor="text1"/>
          <w:sz w:val="28"/>
          <w:szCs w:val="28"/>
        </w:rPr>
        <w:t xml:space="preserve">дной из основных причин отказа в проведении возврата является причина: </w:t>
      </w:r>
      <w:r>
        <w:rPr>
          <w:color w:val="000000" w:themeColor="text1"/>
          <w:sz w:val="28"/>
          <w:szCs w:val="28"/>
        </w:rPr>
        <w:t xml:space="preserve">«Контроль соответствия реквизитов возвращаемого расчетного документа и реквизитов Заявки на возврат не пройден. </w:t>
      </w:r>
      <w:r w:rsidR="00E275EC" w:rsidRPr="00D236FA">
        <w:rPr>
          <w:color w:val="000000" w:themeColor="text1"/>
          <w:sz w:val="28"/>
          <w:szCs w:val="28"/>
        </w:rPr>
        <w:t>«Отсутс</w:t>
      </w:r>
      <w:r w:rsidR="00D236FA" w:rsidRPr="00D236FA">
        <w:rPr>
          <w:color w:val="000000" w:themeColor="text1"/>
          <w:sz w:val="28"/>
          <w:szCs w:val="28"/>
        </w:rPr>
        <w:t>твуют подтверждающие документы». В таком случае</w:t>
      </w:r>
      <w:r w:rsidR="00E275EC" w:rsidRPr="00D236FA">
        <w:rPr>
          <w:color w:val="000000" w:themeColor="text1"/>
          <w:sz w:val="28"/>
          <w:szCs w:val="28"/>
        </w:rPr>
        <w:t xml:space="preserve"> администратор доходов бюджета направляет в орган Федерального казначейства Заявку на возврат с одновременным приложением подтверждающих документов.</w:t>
      </w:r>
    </w:p>
    <w:p w14:paraId="656518E4" w14:textId="77777777" w:rsidR="00E275EC" w:rsidRPr="00E275EC" w:rsidRDefault="00E275EC" w:rsidP="00D236FA">
      <w:pPr>
        <w:shd w:val="clear" w:color="auto" w:fill="FFFFFF"/>
        <w:ind w:firstLine="567"/>
        <w:jc w:val="both"/>
        <w:rPr>
          <w:color w:val="000000" w:themeColor="text1"/>
          <w:sz w:val="28"/>
          <w:szCs w:val="28"/>
        </w:rPr>
      </w:pPr>
      <w:r w:rsidRPr="00E275EC">
        <w:rPr>
          <w:color w:val="000000" w:themeColor="text1"/>
          <w:sz w:val="28"/>
          <w:szCs w:val="28"/>
        </w:rPr>
        <w:t>Орган Федерального казначейства принимает Заявку на возврат к исполнению после подтверждения обоснованности возврата.</w:t>
      </w:r>
    </w:p>
    <w:p w14:paraId="7278D132" w14:textId="77777777" w:rsidR="00E275EC" w:rsidRDefault="00E275EC" w:rsidP="00D236FA">
      <w:pPr>
        <w:shd w:val="clear" w:color="auto" w:fill="FFFFFF"/>
        <w:ind w:firstLine="567"/>
        <w:jc w:val="both"/>
        <w:rPr>
          <w:color w:val="000000" w:themeColor="text1"/>
          <w:sz w:val="28"/>
          <w:szCs w:val="28"/>
        </w:rPr>
      </w:pPr>
      <w:r w:rsidRPr="00E275EC">
        <w:rPr>
          <w:color w:val="000000" w:themeColor="text1"/>
          <w:sz w:val="28"/>
          <w:szCs w:val="28"/>
        </w:rPr>
        <w:t>В качестве документов, подтверждающих факт уплаты платежа, администратор доходов бюджета направляет в орган Федерального казначейства копию расчетного документа плательщика (копию распоряжения физического лица и (или) копию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в бюджетную систему Российской Федерации) (далее - документы, подтверждающие факт уплаты платежа), а также при необходимости подтверждения права плательщика на возврат - документы, подтверждающие право плательщика на возврат денежных средств в случае изменения данных плательщика (далее - документы, подтверждающие право плательщика на возврат)</w:t>
      </w:r>
      <w:r w:rsidR="00D236FA">
        <w:rPr>
          <w:color w:val="000000" w:themeColor="text1"/>
          <w:sz w:val="28"/>
          <w:szCs w:val="28"/>
        </w:rPr>
        <w:t xml:space="preserve"> </w:t>
      </w:r>
      <w:r w:rsidR="00D236FA" w:rsidRPr="00D236FA">
        <w:rPr>
          <w:color w:val="000000" w:themeColor="text1"/>
          <w:sz w:val="28"/>
          <w:szCs w:val="28"/>
        </w:rPr>
        <w:t>[2]</w:t>
      </w:r>
      <w:r w:rsidRPr="00E275EC">
        <w:rPr>
          <w:color w:val="000000" w:themeColor="text1"/>
          <w:sz w:val="28"/>
          <w:szCs w:val="28"/>
        </w:rPr>
        <w:t>.</w:t>
      </w:r>
    </w:p>
    <w:p w14:paraId="1FFE5A5C" w14:textId="77777777" w:rsidR="005B690C" w:rsidRPr="00E275EC" w:rsidRDefault="005B690C" w:rsidP="00D236FA">
      <w:pPr>
        <w:shd w:val="clear" w:color="auto" w:fill="FFFFFF"/>
        <w:ind w:firstLine="567"/>
        <w:jc w:val="both"/>
        <w:rPr>
          <w:color w:val="000000" w:themeColor="text1"/>
          <w:sz w:val="28"/>
          <w:szCs w:val="28"/>
        </w:rPr>
      </w:pPr>
      <w:r w:rsidRPr="005B690C">
        <w:rPr>
          <w:color w:val="000000" w:themeColor="text1"/>
          <w:sz w:val="28"/>
          <w:szCs w:val="28"/>
          <w:shd w:val="clear" w:color="auto" w:fill="FFFFFF"/>
        </w:rPr>
        <w:t>В случае если форма или содержание документов, подтверждающих факт уплаты платежа, и документов, подтверждающих право плательщика на возврат, документов, позволяющих идентифицировать ФИО плательщика - физического лица, не соответствуют указанным требованиям или подписи администратора доходов бюджета на документах, подтверждающих факт уплаты платежа, будут признаны не соответствующими образцам, имеющимся в Карточке образцов подписей (код формы по КФД 0531753), и (или) в случае недостаточности неиспользованного остатка целевых средств на едином счете бюджета субъекта Российской Федерации (местного бюджета) при возврате целевых средств орган Федерального казначейства отказывает администратору доходов бюджета в исполнении Заявки на возврат в соответствии с Правилами организации и функционирования системы казначейских платежей.</w:t>
      </w:r>
    </w:p>
    <w:p w14:paraId="7BDD442D" w14:textId="77777777" w:rsidR="00152546" w:rsidRPr="00152546" w:rsidRDefault="00152546" w:rsidP="00152546">
      <w:pPr>
        <w:tabs>
          <w:tab w:val="num" w:pos="0"/>
          <w:tab w:val="left" w:pos="1080"/>
        </w:tabs>
        <w:autoSpaceDE w:val="0"/>
        <w:autoSpaceDN w:val="0"/>
        <w:adjustRightInd w:val="0"/>
        <w:ind w:firstLine="567"/>
        <w:jc w:val="both"/>
        <w:rPr>
          <w:color w:val="000000" w:themeColor="text1"/>
          <w:sz w:val="28"/>
          <w:szCs w:val="28"/>
        </w:rPr>
      </w:pPr>
      <w:r w:rsidRPr="005B690C">
        <w:rPr>
          <w:color w:val="000000" w:themeColor="text1"/>
          <w:sz w:val="28"/>
          <w:szCs w:val="28"/>
        </w:rPr>
        <w:t xml:space="preserve">Так как </w:t>
      </w:r>
      <w:r w:rsidR="0062611A" w:rsidRPr="005B690C">
        <w:rPr>
          <w:color w:val="000000" w:themeColor="text1"/>
          <w:sz w:val="28"/>
          <w:szCs w:val="28"/>
        </w:rPr>
        <w:t>Упра</w:t>
      </w:r>
      <w:r w:rsidR="00EA3D3C" w:rsidRPr="005B690C">
        <w:rPr>
          <w:color w:val="000000" w:themeColor="text1"/>
          <w:sz w:val="28"/>
          <w:szCs w:val="28"/>
        </w:rPr>
        <w:t xml:space="preserve">вление является администратором невыясненных </w:t>
      </w:r>
      <w:r w:rsidR="00EA3D3C" w:rsidRPr="00152546">
        <w:rPr>
          <w:color w:val="000000" w:themeColor="text1"/>
          <w:sz w:val="28"/>
          <w:szCs w:val="28"/>
        </w:rPr>
        <w:t>поступлений, зачисляемых в федеральный бюджет и также принимает решение о возврате</w:t>
      </w:r>
      <w:r w:rsidRPr="00152546">
        <w:rPr>
          <w:color w:val="000000" w:themeColor="text1"/>
          <w:sz w:val="28"/>
          <w:szCs w:val="28"/>
        </w:rPr>
        <w:t xml:space="preserve"> в соответствии с Порядком 66н. </w:t>
      </w:r>
    </w:p>
    <w:p w14:paraId="728D5A7F" w14:textId="77777777" w:rsidR="00152546" w:rsidRPr="00152546" w:rsidRDefault="00152546" w:rsidP="00152546">
      <w:pPr>
        <w:pStyle w:val="a3"/>
        <w:shd w:val="clear" w:color="auto" w:fill="FFFFFF"/>
        <w:spacing w:before="0" w:beforeAutospacing="0" w:after="0" w:afterAutospacing="0"/>
        <w:ind w:firstLine="567"/>
        <w:jc w:val="both"/>
        <w:rPr>
          <w:color w:val="000000" w:themeColor="text1"/>
          <w:sz w:val="28"/>
          <w:szCs w:val="28"/>
        </w:rPr>
      </w:pPr>
      <w:r w:rsidRPr="00152546">
        <w:rPr>
          <w:color w:val="000000" w:themeColor="text1"/>
          <w:sz w:val="28"/>
          <w:szCs w:val="28"/>
        </w:rPr>
        <w:t>Поступления, учтенные органом Федерального казначейства как невыясненные поступления, зачисляемые в федеральный бюджет, подлежат возврату с учетом требований законодательства Российской Федерации, устанавливающих ограничения при возврате денежных средств из бюджетной системы Российской Федерации, соответствующим органом Федерального казначейства на основании составленной им Заявки на возврат в следующих случаях:</w:t>
      </w:r>
    </w:p>
    <w:p w14:paraId="33D5A68F" w14:textId="77777777" w:rsidR="00152546" w:rsidRPr="00152546" w:rsidRDefault="00152546" w:rsidP="00152546">
      <w:pPr>
        <w:pStyle w:val="a3"/>
        <w:shd w:val="clear" w:color="auto" w:fill="FFFFFF"/>
        <w:spacing w:before="0" w:beforeAutospacing="0" w:after="0" w:afterAutospacing="0"/>
        <w:ind w:firstLine="567"/>
        <w:jc w:val="both"/>
        <w:rPr>
          <w:color w:val="000000" w:themeColor="text1"/>
          <w:sz w:val="28"/>
          <w:szCs w:val="28"/>
        </w:rPr>
      </w:pPr>
      <w:r w:rsidRPr="00152546">
        <w:rPr>
          <w:color w:val="000000" w:themeColor="text1"/>
          <w:sz w:val="28"/>
          <w:szCs w:val="28"/>
        </w:rPr>
        <w:t xml:space="preserve">а) невыясненные поступления по распоряжениям, в которых в реквизите «КБК» и (или) реквизите «Назначение платежа» не имеется оснований для отнесения такого платежа к налогам, сборам и иным платежам, подлежащим </w:t>
      </w:r>
      <w:r w:rsidRPr="00152546">
        <w:rPr>
          <w:color w:val="000000" w:themeColor="text1"/>
          <w:sz w:val="28"/>
          <w:szCs w:val="28"/>
        </w:rPr>
        <w:lastRenderedPageBreak/>
        <w:t>перечислению в бюджет, возвращаются плательщику при поступлении от него заявления. При этом ранее направленные Запросы на выяснение принадлежности платежа подлежат отмене;</w:t>
      </w:r>
    </w:p>
    <w:p w14:paraId="26638F7F" w14:textId="77777777" w:rsidR="00152546" w:rsidRPr="00152546" w:rsidRDefault="00152546" w:rsidP="00152546">
      <w:pPr>
        <w:pStyle w:val="a3"/>
        <w:shd w:val="clear" w:color="auto" w:fill="FFFFFF"/>
        <w:spacing w:before="0" w:beforeAutospacing="0" w:after="0" w:afterAutospacing="0"/>
        <w:ind w:firstLine="567"/>
        <w:jc w:val="both"/>
        <w:rPr>
          <w:color w:val="000000" w:themeColor="text1"/>
          <w:sz w:val="28"/>
          <w:szCs w:val="28"/>
        </w:rPr>
      </w:pPr>
      <w:r w:rsidRPr="00152546">
        <w:rPr>
          <w:color w:val="000000" w:themeColor="text1"/>
          <w:sz w:val="28"/>
          <w:szCs w:val="28"/>
        </w:rPr>
        <w:t>б) невыясненные поступления, принадлежность которых к доходам не установлена, ошибочно зачисленные на счет органа Федерального казначейства по вине банка, организации федеральной почтовой связи, платежного агента, возвращаются на счет данного банка, организации федеральной почтовой связи, платежного агента на основании письменного обращения (уведомления) банка, организации федеральной почтовой связи, платежного агента. При этом ранее направленные Запросы на выяснение принадлежности платежа подлежат отмене;</w:t>
      </w:r>
    </w:p>
    <w:p w14:paraId="5484C2EB" w14:textId="77777777" w:rsidR="00F96444" w:rsidRDefault="00152546" w:rsidP="00152546">
      <w:pPr>
        <w:pStyle w:val="a3"/>
        <w:shd w:val="clear" w:color="auto" w:fill="FFFFFF"/>
        <w:spacing w:before="0" w:beforeAutospacing="0" w:after="0" w:afterAutospacing="0"/>
        <w:ind w:firstLine="567"/>
        <w:jc w:val="both"/>
        <w:rPr>
          <w:color w:val="000000" w:themeColor="text1"/>
          <w:sz w:val="28"/>
          <w:szCs w:val="28"/>
        </w:rPr>
      </w:pPr>
      <w:r w:rsidRPr="00152546">
        <w:rPr>
          <w:color w:val="000000" w:themeColor="text1"/>
          <w:sz w:val="28"/>
          <w:szCs w:val="28"/>
        </w:rPr>
        <w:t xml:space="preserve">в) невыясненные поступления возвращаются плательщику при поступлении от него заявления в случае, если все администраторы поступлений в бюджет, которым </w:t>
      </w:r>
      <w:r w:rsidR="0060467C">
        <w:rPr>
          <w:color w:val="000000" w:themeColor="text1"/>
          <w:sz w:val="28"/>
          <w:szCs w:val="28"/>
        </w:rPr>
        <w:t>р</w:t>
      </w:r>
      <w:r w:rsidRPr="00152546">
        <w:rPr>
          <w:color w:val="000000" w:themeColor="text1"/>
          <w:sz w:val="28"/>
          <w:szCs w:val="28"/>
        </w:rPr>
        <w:t xml:space="preserve">анее направлялся Запрос на выяснение принадлежности платежа, и (или) администратор поступлений в бюджет, указанный в заявлении плательщика в качестве получателя, которому предназначался платеж, предоставили Уведомления об уточнении вида и принадлежности платежа с отказом от принятия на учет данного поступления </w:t>
      </w:r>
      <w:r w:rsidR="00251D4D" w:rsidRPr="00152546">
        <w:rPr>
          <w:color w:val="000000" w:themeColor="text1"/>
          <w:sz w:val="28"/>
          <w:szCs w:val="28"/>
        </w:rPr>
        <w:t>[</w:t>
      </w:r>
      <w:r w:rsidR="0060467C">
        <w:rPr>
          <w:color w:val="000000" w:themeColor="text1"/>
          <w:sz w:val="28"/>
          <w:szCs w:val="28"/>
        </w:rPr>
        <w:t>2</w:t>
      </w:r>
      <w:r w:rsidR="00251D4D" w:rsidRPr="00152546">
        <w:rPr>
          <w:color w:val="000000" w:themeColor="text1"/>
          <w:sz w:val="28"/>
          <w:szCs w:val="28"/>
        </w:rPr>
        <w:t>]</w:t>
      </w:r>
      <w:r w:rsidR="00EA3D3C" w:rsidRPr="00152546">
        <w:rPr>
          <w:color w:val="000000" w:themeColor="text1"/>
          <w:sz w:val="28"/>
          <w:szCs w:val="28"/>
        </w:rPr>
        <w:t xml:space="preserve">. </w:t>
      </w:r>
    </w:p>
    <w:p w14:paraId="04368BAA" w14:textId="77777777" w:rsidR="00DE319B" w:rsidRPr="00DE319B" w:rsidRDefault="00DE319B" w:rsidP="00DE319B">
      <w:pPr>
        <w:shd w:val="clear" w:color="auto" w:fill="FFFFFF"/>
        <w:ind w:firstLine="567"/>
        <w:jc w:val="both"/>
        <w:rPr>
          <w:color w:val="000000" w:themeColor="text1"/>
          <w:sz w:val="28"/>
          <w:szCs w:val="28"/>
        </w:rPr>
      </w:pPr>
      <w:r w:rsidRPr="00DE319B">
        <w:rPr>
          <w:color w:val="000000" w:themeColor="text1"/>
          <w:sz w:val="28"/>
          <w:szCs w:val="28"/>
        </w:rPr>
        <w:t>Поступления, ошибочно зачисленные на счет органа Федерального казначейства и учтенные им как невыясненные поступления, зачисляемые в федеральный бюджет, получателем которых в соответствии с законодательством Российской Федерации является государственное или муниципальное учреждение (далее - учреждение), которому открыт лицевой счет в органе Федерального казначейства, подлежащие зачислению на другой казначейский счет, открытый в органе Федерального казначейства, перечисляются учреждению на основании полученного от данного учреждения письменного обращения с приложением копии заявления плательщика. При этом ранее направленные Запросы на выяснение принадлежности платежа подлежат отмене.</w:t>
      </w:r>
    </w:p>
    <w:p w14:paraId="3B98A783" w14:textId="77777777" w:rsidR="00881E79" w:rsidRDefault="00881E79" w:rsidP="0078037A">
      <w:pPr>
        <w:tabs>
          <w:tab w:val="num" w:pos="0"/>
          <w:tab w:val="left" w:pos="1080"/>
        </w:tabs>
        <w:autoSpaceDE w:val="0"/>
        <w:autoSpaceDN w:val="0"/>
        <w:adjustRightInd w:val="0"/>
        <w:ind w:firstLine="567"/>
        <w:jc w:val="both"/>
        <w:rPr>
          <w:color w:val="000000" w:themeColor="text1"/>
          <w:sz w:val="28"/>
          <w:szCs w:val="28"/>
        </w:rPr>
      </w:pPr>
    </w:p>
    <w:p w14:paraId="6A5F339D" w14:textId="77777777" w:rsidR="0032788A" w:rsidRDefault="0009736D" w:rsidP="00147834">
      <w:pPr>
        <w:tabs>
          <w:tab w:val="num" w:pos="0"/>
          <w:tab w:val="left" w:pos="1080"/>
        </w:tabs>
        <w:autoSpaceDE w:val="0"/>
        <w:autoSpaceDN w:val="0"/>
        <w:adjustRightInd w:val="0"/>
        <w:ind w:firstLine="567"/>
        <w:jc w:val="both"/>
        <w:rPr>
          <w:bCs/>
          <w:color w:val="000000" w:themeColor="text1"/>
          <w:sz w:val="28"/>
          <w:szCs w:val="28"/>
        </w:rPr>
      </w:pPr>
      <w:r>
        <w:rPr>
          <w:color w:val="000000" w:themeColor="text1"/>
          <w:sz w:val="28"/>
          <w:szCs w:val="28"/>
        </w:rPr>
        <w:t xml:space="preserve">Таблица </w:t>
      </w:r>
      <w:r w:rsidR="0049799E">
        <w:rPr>
          <w:color w:val="000000" w:themeColor="text1"/>
          <w:sz w:val="28"/>
          <w:szCs w:val="28"/>
        </w:rPr>
        <w:t>3</w:t>
      </w:r>
      <w:r w:rsidR="005B1E8B">
        <w:rPr>
          <w:color w:val="000000" w:themeColor="text1"/>
          <w:sz w:val="28"/>
          <w:szCs w:val="28"/>
        </w:rPr>
        <w:t xml:space="preserve">. </w:t>
      </w:r>
      <w:r w:rsidRPr="00BF12E4">
        <w:rPr>
          <w:bCs/>
          <w:color w:val="000000" w:themeColor="text1"/>
          <w:sz w:val="28"/>
          <w:szCs w:val="28"/>
        </w:rPr>
        <w:t>Общий объем средств, возвращенных</w:t>
      </w:r>
      <w:r>
        <w:rPr>
          <w:bCs/>
          <w:color w:val="000000" w:themeColor="text1"/>
          <w:sz w:val="28"/>
          <w:szCs w:val="28"/>
        </w:rPr>
        <w:t xml:space="preserve"> </w:t>
      </w:r>
      <w:r w:rsidRPr="00BF12E4">
        <w:rPr>
          <w:bCs/>
          <w:color w:val="000000" w:themeColor="text1"/>
          <w:sz w:val="28"/>
          <w:szCs w:val="28"/>
        </w:rPr>
        <w:t>Управлением, млн.</w:t>
      </w:r>
      <w:r w:rsidR="00EA3D3C">
        <w:rPr>
          <w:bCs/>
          <w:color w:val="000000" w:themeColor="text1"/>
          <w:sz w:val="28"/>
          <w:szCs w:val="28"/>
        </w:rPr>
        <w:t xml:space="preserve"> </w:t>
      </w:r>
      <w:r w:rsidRPr="00BF12E4">
        <w:rPr>
          <w:bCs/>
          <w:color w:val="000000" w:themeColor="text1"/>
          <w:sz w:val="28"/>
          <w:szCs w:val="28"/>
        </w:rPr>
        <w:t>руб. и %</w:t>
      </w:r>
    </w:p>
    <w:tbl>
      <w:tblPr>
        <w:tblStyle w:val="a6"/>
        <w:tblW w:w="9071" w:type="dxa"/>
        <w:tblInd w:w="392" w:type="dxa"/>
        <w:tblLook w:val="04A0" w:firstRow="1" w:lastRow="0" w:firstColumn="1" w:lastColumn="0" w:noHBand="0" w:noVBand="1"/>
      </w:tblPr>
      <w:tblGrid>
        <w:gridCol w:w="2835"/>
        <w:gridCol w:w="1417"/>
        <w:gridCol w:w="1417"/>
        <w:gridCol w:w="1560"/>
        <w:gridCol w:w="1842"/>
      </w:tblGrid>
      <w:tr w:rsidR="00784CA2" w14:paraId="23CD0173" w14:textId="77777777" w:rsidTr="00362007">
        <w:tc>
          <w:tcPr>
            <w:tcW w:w="2835" w:type="dxa"/>
            <w:vMerge w:val="restart"/>
          </w:tcPr>
          <w:p w14:paraId="614C04DF" w14:textId="77777777" w:rsidR="00784CA2" w:rsidRPr="00147834" w:rsidRDefault="00147834" w:rsidP="00DB4A11">
            <w:pPr>
              <w:rPr>
                <w:color w:val="000000" w:themeColor="text1"/>
              </w:rPr>
            </w:pPr>
            <w:r w:rsidRPr="00147834">
              <w:rPr>
                <w:color w:val="000000" w:themeColor="text1"/>
              </w:rPr>
              <w:t>Показатель</w:t>
            </w:r>
          </w:p>
        </w:tc>
        <w:tc>
          <w:tcPr>
            <w:tcW w:w="2834" w:type="dxa"/>
            <w:gridSpan w:val="2"/>
          </w:tcPr>
          <w:p w14:paraId="3C63BC00" w14:textId="77777777" w:rsidR="00784CA2" w:rsidRPr="00147834" w:rsidRDefault="00784CA2" w:rsidP="000D0749">
            <w:pPr>
              <w:jc w:val="center"/>
              <w:rPr>
                <w:color w:val="000000" w:themeColor="text1"/>
              </w:rPr>
            </w:pPr>
            <w:r w:rsidRPr="00147834">
              <w:rPr>
                <w:color w:val="000000" w:themeColor="text1"/>
              </w:rPr>
              <w:t>2019 г.</w:t>
            </w:r>
          </w:p>
        </w:tc>
        <w:tc>
          <w:tcPr>
            <w:tcW w:w="3402" w:type="dxa"/>
            <w:gridSpan w:val="2"/>
          </w:tcPr>
          <w:p w14:paraId="59300F6F" w14:textId="77777777" w:rsidR="00784CA2" w:rsidRPr="00147834" w:rsidRDefault="00784CA2" w:rsidP="000D0749">
            <w:pPr>
              <w:jc w:val="center"/>
              <w:rPr>
                <w:color w:val="000000" w:themeColor="text1"/>
              </w:rPr>
            </w:pPr>
            <w:r w:rsidRPr="00147834">
              <w:rPr>
                <w:color w:val="000000" w:themeColor="text1"/>
              </w:rPr>
              <w:t>2020 г.</w:t>
            </w:r>
          </w:p>
        </w:tc>
      </w:tr>
      <w:tr w:rsidR="00784CA2" w14:paraId="35C1A909" w14:textId="77777777" w:rsidTr="00784CA2">
        <w:tc>
          <w:tcPr>
            <w:tcW w:w="2835" w:type="dxa"/>
            <w:vMerge/>
          </w:tcPr>
          <w:p w14:paraId="0ABD5061" w14:textId="77777777" w:rsidR="00784CA2" w:rsidRPr="00147834" w:rsidRDefault="00784CA2" w:rsidP="00784CA2">
            <w:pPr>
              <w:rPr>
                <w:color w:val="000000" w:themeColor="text1"/>
              </w:rPr>
            </w:pPr>
          </w:p>
        </w:tc>
        <w:tc>
          <w:tcPr>
            <w:tcW w:w="1417" w:type="dxa"/>
          </w:tcPr>
          <w:p w14:paraId="1BC1442D" w14:textId="77777777" w:rsidR="00784CA2" w:rsidRPr="00147834" w:rsidRDefault="00784CA2" w:rsidP="00784CA2">
            <w:pPr>
              <w:jc w:val="center"/>
              <w:rPr>
                <w:color w:val="000000" w:themeColor="text1"/>
              </w:rPr>
            </w:pPr>
            <w:r w:rsidRPr="00147834">
              <w:rPr>
                <w:color w:val="000000" w:themeColor="text1"/>
              </w:rPr>
              <w:t>млн. руб.</w:t>
            </w:r>
          </w:p>
        </w:tc>
        <w:tc>
          <w:tcPr>
            <w:tcW w:w="1417" w:type="dxa"/>
          </w:tcPr>
          <w:p w14:paraId="606128E5" w14:textId="77777777" w:rsidR="00784CA2" w:rsidRPr="00147834" w:rsidRDefault="00784CA2" w:rsidP="00784CA2">
            <w:pPr>
              <w:jc w:val="center"/>
              <w:rPr>
                <w:color w:val="000000" w:themeColor="text1"/>
              </w:rPr>
            </w:pPr>
            <w:r w:rsidRPr="00147834">
              <w:rPr>
                <w:color w:val="000000" w:themeColor="text1"/>
              </w:rPr>
              <w:t>%</w:t>
            </w:r>
          </w:p>
        </w:tc>
        <w:tc>
          <w:tcPr>
            <w:tcW w:w="1560" w:type="dxa"/>
          </w:tcPr>
          <w:p w14:paraId="0A6ABC07" w14:textId="77777777" w:rsidR="00784CA2" w:rsidRPr="00147834" w:rsidRDefault="00784CA2" w:rsidP="00784CA2">
            <w:pPr>
              <w:jc w:val="center"/>
              <w:rPr>
                <w:color w:val="000000" w:themeColor="text1"/>
              </w:rPr>
            </w:pPr>
            <w:r w:rsidRPr="00147834">
              <w:rPr>
                <w:color w:val="000000" w:themeColor="text1"/>
              </w:rPr>
              <w:t>млн. руб.</w:t>
            </w:r>
          </w:p>
        </w:tc>
        <w:tc>
          <w:tcPr>
            <w:tcW w:w="1842" w:type="dxa"/>
          </w:tcPr>
          <w:p w14:paraId="3BBBFC0F" w14:textId="77777777" w:rsidR="00784CA2" w:rsidRPr="00147834" w:rsidRDefault="00784CA2" w:rsidP="00784CA2">
            <w:pPr>
              <w:jc w:val="center"/>
              <w:rPr>
                <w:color w:val="000000" w:themeColor="text1"/>
              </w:rPr>
            </w:pPr>
            <w:r w:rsidRPr="00147834">
              <w:rPr>
                <w:color w:val="000000" w:themeColor="text1"/>
              </w:rPr>
              <w:t>%</w:t>
            </w:r>
          </w:p>
        </w:tc>
      </w:tr>
      <w:tr w:rsidR="00784CA2" w14:paraId="2387D432" w14:textId="77777777" w:rsidTr="00784CA2">
        <w:tc>
          <w:tcPr>
            <w:tcW w:w="2835" w:type="dxa"/>
          </w:tcPr>
          <w:p w14:paraId="617E9316" w14:textId="77777777" w:rsidR="00784CA2" w:rsidRPr="00147834" w:rsidRDefault="00784CA2" w:rsidP="00784CA2">
            <w:pPr>
              <w:rPr>
                <w:color w:val="000000" w:themeColor="text1"/>
              </w:rPr>
            </w:pPr>
            <w:r w:rsidRPr="00147834">
              <w:rPr>
                <w:color w:val="000000" w:themeColor="text1"/>
              </w:rPr>
              <w:t xml:space="preserve">Возвращено по решениям Управления </w:t>
            </w:r>
          </w:p>
        </w:tc>
        <w:tc>
          <w:tcPr>
            <w:tcW w:w="1417" w:type="dxa"/>
          </w:tcPr>
          <w:p w14:paraId="4FDDA482" w14:textId="77777777" w:rsidR="00784CA2" w:rsidRPr="00147834" w:rsidRDefault="00EF23FB" w:rsidP="00784CA2">
            <w:pPr>
              <w:jc w:val="center"/>
              <w:rPr>
                <w:color w:val="000000" w:themeColor="text1"/>
              </w:rPr>
            </w:pPr>
            <w:r w:rsidRPr="00147834">
              <w:rPr>
                <w:color w:val="000000" w:themeColor="text1"/>
              </w:rPr>
              <w:t>28,3</w:t>
            </w:r>
          </w:p>
        </w:tc>
        <w:tc>
          <w:tcPr>
            <w:tcW w:w="1417" w:type="dxa"/>
          </w:tcPr>
          <w:p w14:paraId="04FCF030" w14:textId="77777777" w:rsidR="00784CA2" w:rsidRPr="00147834" w:rsidRDefault="0032788A" w:rsidP="00784CA2">
            <w:pPr>
              <w:jc w:val="center"/>
              <w:rPr>
                <w:color w:val="000000" w:themeColor="text1"/>
              </w:rPr>
            </w:pPr>
            <w:r w:rsidRPr="00147834">
              <w:rPr>
                <w:color w:val="000000" w:themeColor="text1"/>
              </w:rPr>
              <w:t>0,07</w:t>
            </w:r>
          </w:p>
        </w:tc>
        <w:tc>
          <w:tcPr>
            <w:tcW w:w="1560" w:type="dxa"/>
          </w:tcPr>
          <w:p w14:paraId="7697168F" w14:textId="77777777" w:rsidR="00784CA2" w:rsidRPr="00147834" w:rsidRDefault="00784CA2" w:rsidP="00784CA2">
            <w:pPr>
              <w:jc w:val="center"/>
              <w:rPr>
                <w:color w:val="000000" w:themeColor="text1"/>
              </w:rPr>
            </w:pPr>
            <w:r w:rsidRPr="00147834">
              <w:rPr>
                <w:color w:val="000000" w:themeColor="text1"/>
              </w:rPr>
              <w:t>17,50</w:t>
            </w:r>
          </w:p>
        </w:tc>
        <w:tc>
          <w:tcPr>
            <w:tcW w:w="1842" w:type="dxa"/>
          </w:tcPr>
          <w:p w14:paraId="1D4963D6" w14:textId="77777777" w:rsidR="00784CA2" w:rsidRPr="00147834" w:rsidRDefault="00784CA2" w:rsidP="00784CA2">
            <w:pPr>
              <w:jc w:val="center"/>
              <w:rPr>
                <w:color w:val="000000" w:themeColor="text1"/>
              </w:rPr>
            </w:pPr>
            <w:r w:rsidRPr="00147834">
              <w:rPr>
                <w:color w:val="000000" w:themeColor="text1"/>
              </w:rPr>
              <w:t>0,04</w:t>
            </w:r>
          </w:p>
        </w:tc>
      </w:tr>
      <w:tr w:rsidR="00784CA2" w14:paraId="300CFB16" w14:textId="77777777" w:rsidTr="00784CA2">
        <w:tc>
          <w:tcPr>
            <w:tcW w:w="2835" w:type="dxa"/>
          </w:tcPr>
          <w:p w14:paraId="2CE458A2" w14:textId="77777777" w:rsidR="00784CA2" w:rsidRPr="00147834" w:rsidRDefault="00784CA2" w:rsidP="00784CA2">
            <w:pPr>
              <w:rPr>
                <w:color w:val="000000" w:themeColor="text1"/>
              </w:rPr>
            </w:pPr>
            <w:r w:rsidRPr="00147834">
              <w:rPr>
                <w:color w:val="000000" w:themeColor="text1"/>
              </w:rPr>
              <w:t xml:space="preserve">Общая сумма возвратов </w:t>
            </w:r>
          </w:p>
        </w:tc>
        <w:tc>
          <w:tcPr>
            <w:tcW w:w="1417" w:type="dxa"/>
          </w:tcPr>
          <w:p w14:paraId="4F2909DB" w14:textId="77777777" w:rsidR="00784CA2" w:rsidRPr="00147834" w:rsidRDefault="0032788A" w:rsidP="00784CA2">
            <w:pPr>
              <w:jc w:val="center"/>
              <w:rPr>
                <w:color w:val="000000" w:themeColor="text1"/>
              </w:rPr>
            </w:pPr>
            <w:r w:rsidRPr="00147834">
              <w:rPr>
                <w:color w:val="000000" w:themeColor="text1"/>
              </w:rPr>
              <w:t>40 774,9</w:t>
            </w:r>
          </w:p>
        </w:tc>
        <w:tc>
          <w:tcPr>
            <w:tcW w:w="1417" w:type="dxa"/>
          </w:tcPr>
          <w:p w14:paraId="746BE994" w14:textId="77777777" w:rsidR="00784CA2" w:rsidRPr="00147834" w:rsidRDefault="0032788A" w:rsidP="00784CA2">
            <w:pPr>
              <w:jc w:val="center"/>
              <w:rPr>
                <w:color w:val="000000" w:themeColor="text1"/>
              </w:rPr>
            </w:pPr>
            <w:r w:rsidRPr="00147834">
              <w:rPr>
                <w:color w:val="000000" w:themeColor="text1"/>
              </w:rPr>
              <w:t>100</w:t>
            </w:r>
          </w:p>
        </w:tc>
        <w:tc>
          <w:tcPr>
            <w:tcW w:w="1560" w:type="dxa"/>
          </w:tcPr>
          <w:p w14:paraId="6AECB67E" w14:textId="77777777" w:rsidR="00784CA2" w:rsidRPr="00147834" w:rsidRDefault="00784CA2" w:rsidP="00784CA2">
            <w:pPr>
              <w:jc w:val="center"/>
              <w:rPr>
                <w:color w:val="000000" w:themeColor="text1"/>
              </w:rPr>
            </w:pPr>
            <w:r w:rsidRPr="00147834">
              <w:rPr>
                <w:color w:val="000000" w:themeColor="text1"/>
              </w:rPr>
              <w:t>43 422,5</w:t>
            </w:r>
          </w:p>
        </w:tc>
        <w:tc>
          <w:tcPr>
            <w:tcW w:w="1842" w:type="dxa"/>
          </w:tcPr>
          <w:p w14:paraId="1621F6FD" w14:textId="77777777" w:rsidR="00784CA2" w:rsidRPr="00147834" w:rsidRDefault="00784CA2" w:rsidP="00784CA2">
            <w:pPr>
              <w:jc w:val="center"/>
              <w:rPr>
                <w:color w:val="000000" w:themeColor="text1"/>
              </w:rPr>
            </w:pPr>
            <w:r w:rsidRPr="00147834">
              <w:rPr>
                <w:color w:val="000000" w:themeColor="text1"/>
              </w:rPr>
              <w:t>100</w:t>
            </w:r>
          </w:p>
        </w:tc>
      </w:tr>
    </w:tbl>
    <w:p w14:paraId="7D095727" w14:textId="77777777" w:rsidR="00EA3D3C" w:rsidRDefault="00EA3D3C" w:rsidP="0078037A">
      <w:pPr>
        <w:tabs>
          <w:tab w:val="num" w:pos="0"/>
          <w:tab w:val="left" w:pos="1080"/>
        </w:tabs>
        <w:autoSpaceDE w:val="0"/>
        <w:autoSpaceDN w:val="0"/>
        <w:adjustRightInd w:val="0"/>
        <w:ind w:firstLine="567"/>
        <w:jc w:val="both"/>
        <w:rPr>
          <w:color w:val="000000" w:themeColor="text1"/>
          <w:sz w:val="28"/>
          <w:szCs w:val="28"/>
        </w:rPr>
      </w:pPr>
    </w:p>
    <w:p w14:paraId="6A615D0A" w14:textId="77777777" w:rsidR="00147834" w:rsidRPr="00147834" w:rsidRDefault="00147834" w:rsidP="00147834">
      <w:pPr>
        <w:tabs>
          <w:tab w:val="num" w:pos="0"/>
          <w:tab w:val="left" w:pos="1080"/>
        </w:tabs>
        <w:autoSpaceDE w:val="0"/>
        <w:autoSpaceDN w:val="0"/>
        <w:adjustRightInd w:val="0"/>
        <w:ind w:firstLine="567"/>
        <w:jc w:val="both"/>
        <w:rPr>
          <w:color w:val="000000" w:themeColor="text1"/>
          <w:sz w:val="28"/>
          <w:szCs w:val="28"/>
        </w:rPr>
      </w:pPr>
      <w:r w:rsidRPr="00147834">
        <w:rPr>
          <w:color w:val="000000" w:themeColor="text1"/>
          <w:sz w:val="28"/>
          <w:szCs w:val="28"/>
        </w:rPr>
        <w:t>Перечисление невыясненных поступлений осуществляется в срок, не превышающий 3-х рабочих дней со дня, следующего за днем представления обращения учреждения, на основании составленной в соответствии с ним органом Федерального казначейства Заявки на возврат, с указанием в реквизите «Назначение платежа (примечание)» Заявки на возврат номера и даты обращения учреждения и наименования плательщика, перечислившего платеж.</w:t>
      </w:r>
    </w:p>
    <w:p w14:paraId="343B3BCC" w14:textId="77777777" w:rsidR="00147834" w:rsidRDefault="00147834" w:rsidP="00147834">
      <w:pPr>
        <w:tabs>
          <w:tab w:val="num" w:pos="0"/>
          <w:tab w:val="left" w:pos="1080"/>
        </w:tabs>
        <w:autoSpaceDE w:val="0"/>
        <w:autoSpaceDN w:val="0"/>
        <w:adjustRightInd w:val="0"/>
        <w:ind w:firstLine="567"/>
        <w:jc w:val="both"/>
        <w:rPr>
          <w:color w:val="000000" w:themeColor="text1"/>
          <w:sz w:val="28"/>
          <w:szCs w:val="28"/>
        </w:rPr>
      </w:pPr>
      <w:r w:rsidRPr="00147834">
        <w:rPr>
          <w:color w:val="000000" w:themeColor="text1"/>
          <w:sz w:val="28"/>
          <w:szCs w:val="28"/>
        </w:rPr>
        <w:lastRenderedPageBreak/>
        <w:t>За 2020 год на основании представленных в Управление заявлений плательщиков (банков, организаций федеральной почтовой связи) Управлением оформлено 309 Заявок на возврат [6].</w:t>
      </w:r>
    </w:p>
    <w:p w14:paraId="5F71E1EA" w14:textId="77777777" w:rsidR="002A0514" w:rsidRDefault="002A0514" w:rsidP="0078037A">
      <w:pPr>
        <w:tabs>
          <w:tab w:val="num" w:pos="0"/>
          <w:tab w:val="left" w:pos="1080"/>
        </w:tabs>
        <w:autoSpaceDE w:val="0"/>
        <w:autoSpaceDN w:val="0"/>
        <w:adjustRightInd w:val="0"/>
        <w:ind w:firstLine="567"/>
        <w:jc w:val="both"/>
        <w:rPr>
          <w:color w:val="000000" w:themeColor="text1"/>
          <w:sz w:val="28"/>
          <w:szCs w:val="28"/>
        </w:rPr>
      </w:pPr>
      <w:r w:rsidRPr="005434C7">
        <w:rPr>
          <w:color w:val="000000" w:themeColor="text1"/>
          <w:sz w:val="28"/>
          <w:szCs w:val="28"/>
        </w:rPr>
        <w:t>Объем возвращенных Управлением средств со счета № </w:t>
      </w:r>
      <w:r w:rsidR="00AA1D83">
        <w:rPr>
          <w:color w:val="000000" w:themeColor="text1"/>
          <w:sz w:val="28"/>
          <w:szCs w:val="28"/>
        </w:rPr>
        <w:t>03100</w:t>
      </w:r>
      <w:r w:rsidRPr="005434C7">
        <w:rPr>
          <w:color w:val="000000" w:themeColor="text1"/>
          <w:sz w:val="28"/>
          <w:szCs w:val="28"/>
        </w:rPr>
        <w:t xml:space="preserve">, решение о возврате которых принималось Управлением как администратором доходов, составил 17,5 млн. </w:t>
      </w:r>
      <w:r w:rsidR="00C019D7" w:rsidRPr="005434C7">
        <w:rPr>
          <w:color w:val="000000" w:themeColor="text1"/>
          <w:sz w:val="28"/>
          <w:szCs w:val="28"/>
        </w:rPr>
        <w:t xml:space="preserve">рублей </w:t>
      </w:r>
      <w:r w:rsidR="00C019D7">
        <w:rPr>
          <w:color w:val="000000" w:themeColor="text1"/>
          <w:sz w:val="28"/>
          <w:szCs w:val="28"/>
        </w:rPr>
        <w:t xml:space="preserve">в 2020 году </w:t>
      </w:r>
      <w:r w:rsidR="00147834">
        <w:rPr>
          <w:color w:val="000000" w:themeColor="text1"/>
          <w:sz w:val="28"/>
          <w:szCs w:val="28"/>
        </w:rPr>
        <w:t>(см.рис.4</w:t>
      </w:r>
      <w:r w:rsidRPr="005434C7">
        <w:rPr>
          <w:color w:val="000000" w:themeColor="text1"/>
          <w:sz w:val="28"/>
          <w:szCs w:val="28"/>
        </w:rPr>
        <w:t>)</w:t>
      </w:r>
      <w:r w:rsidR="00251D4D" w:rsidRPr="00251D4D">
        <w:rPr>
          <w:color w:val="000000" w:themeColor="text1"/>
          <w:sz w:val="28"/>
          <w:szCs w:val="28"/>
        </w:rPr>
        <w:t xml:space="preserve"> [9]</w:t>
      </w:r>
      <w:r w:rsidRPr="005434C7">
        <w:rPr>
          <w:color w:val="000000" w:themeColor="text1"/>
          <w:sz w:val="28"/>
          <w:szCs w:val="28"/>
        </w:rPr>
        <w:t xml:space="preserve">. </w:t>
      </w:r>
    </w:p>
    <w:p w14:paraId="2EF4C1EC" w14:textId="77777777" w:rsidR="00705697" w:rsidRPr="005434C7" w:rsidRDefault="00705697" w:rsidP="0078037A">
      <w:pPr>
        <w:tabs>
          <w:tab w:val="num" w:pos="0"/>
          <w:tab w:val="left" w:pos="1080"/>
        </w:tabs>
        <w:autoSpaceDE w:val="0"/>
        <w:autoSpaceDN w:val="0"/>
        <w:adjustRightInd w:val="0"/>
        <w:ind w:firstLine="567"/>
        <w:jc w:val="both"/>
        <w:rPr>
          <w:color w:val="000000" w:themeColor="text1"/>
          <w:sz w:val="28"/>
          <w:szCs w:val="28"/>
        </w:rPr>
      </w:pPr>
    </w:p>
    <w:p w14:paraId="7EC0547F" w14:textId="77777777" w:rsidR="002A0514" w:rsidRDefault="002A0514" w:rsidP="002A0514">
      <w:pPr>
        <w:autoSpaceDE w:val="0"/>
        <w:autoSpaceDN w:val="0"/>
        <w:adjustRightInd w:val="0"/>
        <w:jc w:val="right"/>
        <w:rPr>
          <w:b/>
        </w:rPr>
      </w:pPr>
    </w:p>
    <w:p w14:paraId="33767D34" w14:textId="77777777" w:rsidR="002A0514" w:rsidRDefault="002A0514" w:rsidP="002A0514">
      <w:pPr>
        <w:autoSpaceDE w:val="0"/>
        <w:autoSpaceDN w:val="0"/>
        <w:adjustRightInd w:val="0"/>
        <w:ind w:firstLine="709"/>
        <w:rPr>
          <w:b/>
        </w:rPr>
      </w:pPr>
      <w:r>
        <w:rPr>
          <w:b/>
          <w:noProof/>
          <w14:reflection w14:blurRad="0" w14:stA="100000" w14:stPos="0" w14:endA="0" w14:endPos="0" w14:dist="0" w14:dir="0" w14:fadeDir="0" w14:sx="0" w14:sy="0" w14:kx="0" w14:ky="0" w14:algn="b"/>
        </w:rPr>
        <w:drawing>
          <wp:inline distT="0" distB="0" distL="0" distR="0" wp14:anchorId="603938CD" wp14:editId="0E44FCD3">
            <wp:extent cx="5246071" cy="2588821"/>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927" r="5239"/>
                    <a:stretch/>
                  </pic:blipFill>
                  <pic:spPr bwMode="auto">
                    <a:xfrm>
                      <a:off x="0" y="0"/>
                      <a:ext cx="5259027" cy="2595214"/>
                    </a:xfrm>
                    <a:prstGeom prst="rect">
                      <a:avLst/>
                    </a:prstGeom>
                    <a:noFill/>
                    <a:ln>
                      <a:noFill/>
                    </a:ln>
                    <a:extLst>
                      <a:ext uri="{53640926-AAD7-44D8-BBD7-CCE9431645EC}">
                        <a14:shadowObscured xmlns:a14="http://schemas.microsoft.com/office/drawing/2010/main"/>
                      </a:ext>
                    </a:extLst>
                  </pic:spPr>
                </pic:pic>
              </a:graphicData>
            </a:graphic>
          </wp:inline>
        </w:drawing>
      </w:r>
    </w:p>
    <w:p w14:paraId="63AE1179" w14:textId="77777777" w:rsidR="002A0514" w:rsidRPr="005E0AEC" w:rsidRDefault="002A0514" w:rsidP="002A0514">
      <w:pPr>
        <w:autoSpaceDE w:val="0"/>
        <w:autoSpaceDN w:val="0"/>
        <w:adjustRightInd w:val="0"/>
        <w:rPr>
          <w:b/>
          <w14:reflection w14:blurRad="0" w14:stA="100000" w14:stPos="0" w14:endA="0" w14:endPos="0" w14:dist="0" w14:dir="0" w14:fadeDir="0" w14:sx="0" w14:sy="0" w14:kx="0" w14:ky="0" w14:algn="b"/>
        </w:rPr>
      </w:pPr>
    </w:p>
    <w:p w14:paraId="27E14A24" w14:textId="77777777" w:rsidR="00705697" w:rsidRDefault="00705697" w:rsidP="00EA3D3C">
      <w:pPr>
        <w:autoSpaceDE w:val="0"/>
        <w:autoSpaceDN w:val="0"/>
        <w:adjustRightInd w:val="0"/>
        <w:jc w:val="both"/>
        <w:rPr>
          <w:sz w:val="28"/>
          <w:szCs w:val="28"/>
        </w:rPr>
      </w:pPr>
      <w:r w:rsidRPr="005434C7">
        <w:rPr>
          <w:color w:val="000000" w:themeColor="text1"/>
          <w:sz w:val="28"/>
          <w:szCs w:val="28"/>
        </w:rPr>
        <w:t xml:space="preserve">Рисунок </w:t>
      </w:r>
      <w:r w:rsidR="00147834">
        <w:rPr>
          <w:color w:val="000000" w:themeColor="text1"/>
          <w:sz w:val="28"/>
          <w:szCs w:val="28"/>
        </w:rPr>
        <w:t>4</w:t>
      </w:r>
      <w:r>
        <w:rPr>
          <w:color w:val="000000" w:themeColor="text1"/>
          <w:sz w:val="28"/>
          <w:szCs w:val="28"/>
        </w:rPr>
        <w:t xml:space="preserve">. </w:t>
      </w:r>
      <w:r w:rsidRPr="00705697">
        <w:rPr>
          <w:sz w:val="28"/>
          <w:szCs w:val="28"/>
        </w:rPr>
        <w:t xml:space="preserve">Общий объем средств, возвращенных </w:t>
      </w:r>
      <w:r>
        <w:rPr>
          <w:sz w:val="28"/>
          <w:szCs w:val="28"/>
        </w:rPr>
        <w:t xml:space="preserve">плательщикам </w:t>
      </w:r>
      <w:r w:rsidRPr="00705697">
        <w:rPr>
          <w:sz w:val="28"/>
          <w:szCs w:val="28"/>
        </w:rPr>
        <w:t>Управлением</w:t>
      </w:r>
      <w:r w:rsidR="002827AE">
        <w:rPr>
          <w:sz w:val="28"/>
          <w:szCs w:val="28"/>
        </w:rPr>
        <w:t xml:space="preserve">, </w:t>
      </w:r>
      <w:r w:rsidR="002827AE" w:rsidRPr="005434C7">
        <w:rPr>
          <w:color w:val="000000" w:themeColor="text1"/>
          <w:sz w:val="28"/>
          <w:szCs w:val="28"/>
        </w:rPr>
        <w:t>как администратором доходов</w:t>
      </w:r>
      <w:r>
        <w:rPr>
          <w:sz w:val="28"/>
          <w:szCs w:val="28"/>
        </w:rPr>
        <w:t xml:space="preserve"> за 2020 год.</w:t>
      </w:r>
    </w:p>
    <w:p w14:paraId="08E6123C" w14:textId="77777777" w:rsidR="00147834" w:rsidRDefault="00147834" w:rsidP="00EA3D3C">
      <w:pPr>
        <w:autoSpaceDE w:val="0"/>
        <w:autoSpaceDN w:val="0"/>
        <w:adjustRightInd w:val="0"/>
        <w:jc w:val="both"/>
        <w:rPr>
          <w:sz w:val="28"/>
          <w:szCs w:val="28"/>
        </w:rPr>
      </w:pPr>
    </w:p>
    <w:p w14:paraId="7D564263" w14:textId="77777777" w:rsidR="00446779" w:rsidRPr="00446779" w:rsidRDefault="00446779" w:rsidP="00446779">
      <w:pPr>
        <w:shd w:val="clear" w:color="auto" w:fill="FFFFFF"/>
        <w:ind w:firstLine="567"/>
        <w:jc w:val="both"/>
        <w:rPr>
          <w:b/>
          <w:color w:val="000000" w:themeColor="text1"/>
          <w:sz w:val="28"/>
          <w:szCs w:val="28"/>
        </w:rPr>
      </w:pPr>
      <w:r w:rsidRPr="00446779">
        <w:rPr>
          <w:b/>
          <w:color w:val="000000" w:themeColor="text1"/>
          <w:sz w:val="28"/>
          <w:szCs w:val="28"/>
        </w:rPr>
        <w:t>Обсуждение результатов</w:t>
      </w:r>
    </w:p>
    <w:p w14:paraId="713DD1D0" w14:textId="77777777" w:rsidR="00446779" w:rsidRDefault="00446779" w:rsidP="00850A44">
      <w:pPr>
        <w:shd w:val="clear" w:color="auto" w:fill="FFFFFF"/>
        <w:ind w:firstLine="567"/>
        <w:jc w:val="both"/>
        <w:rPr>
          <w:color w:val="000000" w:themeColor="text1"/>
          <w:sz w:val="28"/>
          <w:szCs w:val="28"/>
        </w:rPr>
      </w:pPr>
      <w:r>
        <w:rPr>
          <w:color w:val="000000" w:themeColor="text1"/>
          <w:sz w:val="28"/>
          <w:szCs w:val="28"/>
        </w:rPr>
        <w:t xml:space="preserve">По данным таблицы </w:t>
      </w:r>
      <w:r w:rsidR="00C019D7">
        <w:rPr>
          <w:color w:val="000000" w:themeColor="text1"/>
          <w:sz w:val="28"/>
          <w:szCs w:val="28"/>
        </w:rPr>
        <w:t xml:space="preserve">1 </w:t>
      </w:r>
      <w:r>
        <w:rPr>
          <w:color w:val="000000" w:themeColor="text1"/>
          <w:sz w:val="28"/>
          <w:szCs w:val="28"/>
        </w:rPr>
        <w:t>видно, что документов для возврата в Управление в 2020 году поступило больше, чем в 2019 и набольшую сумму. Это говорит о том, что плательщики излишне уплачивают суммы и обращаются за возвратом к администраторам доходов бюджета. Также выросло и число отклоненных Заявок на возврат – это говорит о том, что администраторы доходов бюджета не верно оформляют документы, необходимые для проверки обоснованности возврата.</w:t>
      </w:r>
    </w:p>
    <w:p w14:paraId="6BA71085" w14:textId="77777777" w:rsidR="00692172" w:rsidRDefault="00A81BB6" w:rsidP="00850A44">
      <w:pPr>
        <w:shd w:val="clear" w:color="auto" w:fill="FFFFFF"/>
        <w:ind w:firstLine="567"/>
        <w:jc w:val="both"/>
        <w:rPr>
          <w:color w:val="000000" w:themeColor="text1"/>
          <w:sz w:val="28"/>
          <w:szCs w:val="28"/>
        </w:rPr>
      </w:pPr>
      <w:r>
        <w:rPr>
          <w:color w:val="000000" w:themeColor="text1"/>
          <w:sz w:val="28"/>
          <w:szCs w:val="28"/>
        </w:rPr>
        <w:t>Количество возвращённых</w:t>
      </w:r>
      <w:r w:rsidR="00692172" w:rsidRPr="000D0749">
        <w:rPr>
          <w:color w:val="000000" w:themeColor="text1"/>
          <w:sz w:val="28"/>
          <w:szCs w:val="28"/>
        </w:rPr>
        <w:t xml:space="preserve"> по решениям Управления</w:t>
      </w:r>
      <w:r>
        <w:rPr>
          <w:color w:val="000000" w:themeColor="text1"/>
          <w:sz w:val="28"/>
          <w:szCs w:val="28"/>
        </w:rPr>
        <w:t xml:space="preserve"> средств в 2020 году снизилось по сравнению с 2019 годом. </w:t>
      </w:r>
      <w:r w:rsidR="006D0037">
        <w:rPr>
          <w:color w:val="000000" w:themeColor="text1"/>
          <w:sz w:val="28"/>
          <w:szCs w:val="28"/>
        </w:rPr>
        <w:t>Снижение произошло на 0,03 %. Причин</w:t>
      </w:r>
      <w:r w:rsidR="00D733AA">
        <w:rPr>
          <w:color w:val="000000" w:themeColor="text1"/>
          <w:sz w:val="28"/>
          <w:szCs w:val="28"/>
        </w:rPr>
        <w:t>ы</w:t>
      </w:r>
      <w:r w:rsidR="004B663E">
        <w:rPr>
          <w:color w:val="000000" w:themeColor="text1"/>
          <w:sz w:val="28"/>
          <w:szCs w:val="28"/>
        </w:rPr>
        <w:t>: снижения</w:t>
      </w:r>
      <w:r w:rsidR="006D0037">
        <w:rPr>
          <w:color w:val="000000" w:themeColor="text1"/>
          <w:sz w:val="28"/>
          <w:szCs w:val="28"/>
        </w:rPr>
        <w:t xml:space="preserve"> количества поступивших документов на возврат от администраторов доходов бюджета, организаций, физических лиц и других плательщиков. Также причи</w:t>
      </w:r>
      <w:r w:rsidR="00966066">
        <w:rPr>
          <w:color w:val="000000" w:themeColor="text1"/>
          <w:sz w:val="28"/>
          <w:szCs w:val="28"/>
        </w:rPr>
        <w:t>ной послужил отказ Управ</w:t>
      </w:r>
      <w:r w:rsidR="004B663E">
        <w:rPr>
          <w:color w:val="000000" w:themeColor="text1"/>
          <w:sz w:val="28"/>
          <w:szCs w:val="28"/>
        </w:rPr>
        <w:t xml:space="preserve">лением в осуществлении возврата </w:t>
      </w:r>
      <w:r w:rsidR="001B047B">
        <w:rPr>
          <w:color w:val="000000" w:themeColor="text1"/>
          <w:sz w:val="28"/>
          <w:szCs w:val="28"/>
        </w:rPr>
        <w:t>по различным</w:t>
      </w:r>
      <w:r w:rsidR="004B663E">
        <w:rPr>
          <w:color w:val="000000" w:themeColor="text1"/>
          <w:sz w:val="28"/>
          <w:szCs w:val="28"/>
        </w:rPr>
        <w:t xml:space="preserve"> причинам (не было оснований для возврата, </w:t>
      </w:r>
      <w:r w:rsidR="00F40474">
        <w:rPr>
          <w:color w:val="000000" w:themeColor="text1"/>
          <w:sz w:val="28"/>
          <w:szCs w:val="28"/>
        </w:rPr>
        <w:t>некорректное оформление документов в соответствии с нормативно- правовыми актами и др.).</w:t>
      </w:r>
    </w:p>
    <w:p w14:paraId="0331B72E" w14:textId="77777777" w:rsidR="00147834" w:rsidRDefault="00147834" w:rsidP="00850A44">
      <w:pPr>
        <w:shd w:val="clear" w:color="auto" w:fill="FFFFFF"/>
        <w:ind w:firstLine="567"/>
        <w:jc w:val="both"/>
        <w:rPr>
          <w:color w:val="000000" w:themeColor="text1"/>
          <w:sz w:val="28"/>
          <w:szCs w:val="28"/>
        </w:rPr>
      </w:pPr>
    </w:p>
    <w:p w14:paraId="254D12BD" w14:textId="77777777" w:rsidR="00446779" w:rsidRDefault="00147834" w:rsidP="00850A44">
      <w:pPr>
        <w:shd w:val="clear" w:color="auto" w:fill="FFFFFF"/>
        <w:ind w:firstLine="567"/>
        <w:jc w:val="both"/>
        <w:rPr>
          <w:b/>
          <w:color w:val="000000" w:themeColor="text1"/>
          <w:sz w:val="28"/>
          <w:szCs w:val="28"/>
        </w:rPr>
      </w:pPr>
      <w:r>
        <w:rPr>
          <w:b/>
          <w:color w:val="000000" w:themeColor="text1"/>
          <w:sz w:val="28"/>
          <w:szCs w:val="28"/>
        </w:rPr>
        <w:t>Заключение</w:t>
      </w:r>
    </w:p>
    <w:p w14:paraId="18D4AAE4" w14:textId="77777777" w:rsidR="00850A44" w:rsidRPr="000B1D72" w:rsidRDefault="00191CB3" w:rsidP="00850A44">
      <w:pPr>
        <w:shd w:val="clear" w:color="auto" w:fill="FFFFFF"/>
        <w:ind w:firstLine="567"/>
        <w:jc w:val="both"/>
        <w:rPr>
          <w:color w:val="000000" w:themeColor="text1"/>
          <w:sz w:val="28"/>
          <w:szCs w:val="28"/>
        </w:rPr>
      </w:pPr>
      <w:r>
        <w:rPr>
          <w:color w:val="000000"/>
          <w:sz w:val="28"/>
          <w:szCs w:val="28"/>
          <w:shd w:val="clear" w:color="auto" w:fill="FFFFFF"/>
        </w:rPr>
        <w:t xml:space="preserve">Порядок возврата </w:t>
      </w:r>
      <w:r w:rsidRPr="004C62D2">
        <w:rPr>
          <w:rStyle w:val="blk"/>
          <w:color w:val="000000" w:themeColor="text1"/>
          <w:sz w:val="28"/>
          <w:szCs w:val="28"/>
        </w:rPr>
        <w:t>плательщикам излишне уплаченных (взысканных) сумм</w:t>
      </w:r>
      <w:r>
        <w:rPr>
          <w:rStyle w:val="blk"/>
          <w:color w:val="000000" w:themeColor="text1"/>
          <w:sz w:val="28"/>
          <w:szCs w:val="28"/>
        </w:rPr>
        <w:t xml:space="preserve"> </w:t>
      </w:r>
      <w:r w:rsidRPr="00921C35">
        <w:rPr>
          <w:color w:val="000000"/>
          <w:sz w:val="28"/>
          <w:szCs w:val="28"/>
          <w:shd w:val="clear" w:color="auto" w:fill="FFFFFF"/>
        </w:rPr>
        <w:t>установлен</w:t>
      </w:r>
      <w:r>
        <w:rPr>
          <w:color w:val="000000"/>
          <w:sz w:val="28"/>
          <w:szCs w:val="28"/>
          <w:shd w:val="clear" w:color="auto" w:fill="FFFFFF"/>
        </w:rPr>
        <w:t xml:space="preserve"> Поряд</w:t>
      </w:r>
      <w:r w:rsidRPr="00921C35">
        <w:rPr>
          <w:color w:val="000000"/>
          <w:sz w:val="28"/>
          <w:szCs w:val="28"/>
          <w:shd w:val="clear" w:color="auto" w:fill="FFFFFF"/>
        </w:rPr>
        <w:t>к</w:t>
      </w:r>
      <w:r>
        <w:rPr>
          <w:color w:val="000000"/>
          <w:sz w:val="28"/>
          <w:szCs w:val="28"/>
          <w:shd w:val="clear" w:color="auto" w:fill="FFFFFF"/>
        </w:rPr>
        <w:t>ом</w:t>
      </w:r>
      <w:r w:rsidRPr="00921C35">
        <w:rPr>
          <w:color w:val="000000"/>
          <w:sz w:val="28"/>
          <w:szCs w:val="28"/>
          <w:shd w:val="clear" w:color="auto" w:fill="FFFFFF"/>
        </w:rPr>
        <w:t xml:space="preserve"> № 66н</w:t>
      </w:r>
      <w:r>
        <w:rPr>
          <w:color w:val="000000"/>
          <w:sz w:val="28"/>
          <w:szCs w:val="28"/>
          <w:shd w:val="clear" w:color="auto" w:fill="FFFFFF"/>
        </w:rPr>
        <w:t xml:space="preserve">. </w:t>
      </w:r>
      <w:r w:rsidRPr="000B1D72">
        <w:rPr>
          <w:color w:val="000000" w:themeColor="text1"/>
          <w:sz w:val="28"/>
          <w:szCs w:val="28"/>
        </w:rPr>
        <w:t xml:space="preserve">Орган Федерального казначейства проверяет </w:t>
      </w:r>
      <w:r w:rsidRPr="000B1D72">
        <w:rPr>
          <w:color w:val="000000" w:themeColor="text1"/>
          <w:sz w:val="28"/>
          <w:szCs w:val="28"/>
        </w:rPr>
        <w:lastRenderedPageBreak/>
        <w:t>обоснованность возврата сумм поступлений</w:t>
      </w:r>
      <w:r w:rsidR="00850A44">
        <w:rPr>
          <w:color w:val="000000" w:themeColor="text1"/>
          <w:sz w:val="28"/>
          <w:szCs w:val="28"/>
        </w:rPr>
        <w:t xml:space="preserve"> по утвержденным критериям. В случае отсутствия </w:t>
      </w:r>
      <w:r w:rsidR="00850A44" w:rsidRPr="000B1D72">
        <w:rPr>
          <w:color w:val="000000" w:themeColor="text1"/>
          <w:sz w:val="28"/>
          <w:szCs w:val="28"/>
        </w:rPr>
        <w:t>обоснований возврата орган Федерального казначейства отказывает в приеме к исполнению Заявки на возврат, с указанием причины отказа.</w:t>
      </w:r>
      <w:r w:rsidR="000F1304">
        <w:rPr>
          <w:color w:val="000000" w:themeColor="text1"/>
          <w:sz w:val="28"/>
          <w:szCs w:val="28"/>
        </w:rPr>
        <w:t xml:space="preserve"> Для того, чтобы документы н возврат проходили </w:t>
      </w:r>
      <w:r w:rsidR="00672854">
        <w:rPr>
          <w:color w:val="000000" w:themeColor="text1"/>
          <w:sz w:val="28"/>
          <w:szCs w:val="28"/>
        </w:rPr>
        <w:t xml:space="preserve">контроль - </w:t>
      </w:r>
      <w:r w:rsidR="000F1304">
        <w:rPr>
          <w:color w:val="000000" w:themeColor="text1"/>
          <w:sz w:val="28"/>
          <w:szCs w:val="28"/>
        </w:rPr>
        <w:t>администраторам доходов бюджета, которые принимают решение о возврате необходимо корректно оформлять документы для возврата (в соответствии с утверждёнными порядками).</w:t>
      </w:r>
    </w:p>
    <w:p w14:paraId="31ACA939" w14:textId="77777777" w:rsidR="00152546" w:rsidRPr="00147834" w:rsidRDefault="00152546" w:rsidP="00147834">
      <w:pPr>
        <w:rPr>
          <w:sz w:val="28"/>
          <w:szCs w:val="28"/>
          <w:shd w:val="clear" w:color="auto" w:fill="FFFFFF"/>
        </w:rPr>
      </w:pPr>
    </w:p>
    <w:p w14:paraId="47E4B29E" w14:textId="77777777" w:rsidR="00466849" w:rsidRDefault="00466849" w:rsidP="00466849">
      <w:pPr>
        <w:pStyle w:val="a5"/>
        <w:ind w:left="0" w:firstLine="709"/>
        <w:contextualSpacing w:val="0"/>
        <w:jc w:val="center"/>
        <w:rPr>
          <w:sz w:val="28"/>
          <w:szCs w:val="28"/>
          <w:shd w:val="clear" w:color="auto" w:fill="FFFFFF"/>
        </w:rPr>
      </w:pPr>
      <w:r w:rsidRPr="008F7E36">
        <w:rPr>
          <w:sz w:val="28"/>
          <w:szCs w:val="28"/>
          <w:shd w:val="clear" w:color="auto" w:fill="FFFFFF"/>
        </w:rPr>
        <w:t>Список литературы</w:t>
      </w:r>
    </w:p>
    <w:p w14:paraId="2BA5391B" w14:textId="77777777" w:rsidR="00466849" w:rsidRPr="008F7E36" w:rsidRDefault="00466849" w:rsidP="00466849">
      <w:pPr>
        <w:pStyle w:val="a5"/>
        <w:ind w:left="0" w:firstLine="709"/>
        <w:contextualSpacing w:val="0"/>
        <w:jc w:val="center"/>
        <w:rPr>
          <w:sz w:val="28"/>
          <w:szCs w:val="28"/>
          <w:shd w:val="clear" w:color="auto" w:fill="FFFFFF"/>
        </w:rPr>
      </w:pPr>
    </w:p>
    <w:p w14:paraId="7C8C9540" w14:textId="77777777" w:rsidR="005F2D27" w:rsidRPr="002B1F42" w:rsidRDefault="005F2D27" w:rsidP="002B1F42">
      <w:pPr>
        <w:pStyle w:val="a5"/>
        <w:numPr>
          <w:ilvl w:val="0"/>
          <w:numId w:val="6"/>
        </w:numPr>
        <w:ind w:left="0" w:firstLine="567"/>
        <w:contextualSpacing w:val="0"/>
        <w:jc w:val="both"/>
        <w:rPr>
          <w:bCs/>
          <w:color w:val="000000" w:themeColor="text1"/>
          <w:sz w:val="28"/>
          <w:szCs w:val="28"/>
          <w:shd w:val="clear" w:color="auto" w:fill="FFFFFF"/>
        </w:rPr>
      </w:pPr>
      <w:r w:rsidRPr="002B1F42">
        <w:rPr>
          <w:bCs/>
          <w:color w:val="000000" w:themeColor="text1"/>
          <w:sz w:val="28"/>
          <w:szCs w:val="28"/>
          <w:shd w:val="clear" w:color="auto" w:fill="FFFFFF"/>
        </w:rPr>
        <w:t xml:space="preserve">«Бюджетный кодекс Российской Федерации» от 31.07.1998 N 145-ФЗ (ред. от 22.12.2020) (с изм. и доп., вступ. в силу с 01.01.2021)) </w:t>
      </w:r>
    </w:p>
    <w:p w14:paraId="3846AD4A" w14:textId="77777777" w:rsidR="00466849" w:rsidRPr="002B1F42" w:rsidRDefault="00466849"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rPr>
        <w:t xml:space="preserve">Приказ Минфина России от 13 апреля 2020 г. № 66н </w:t>
      </w:r>
      <w:r w:rsidRPr="002B1F42">
        <w:rPr>
          <w:b/>
          <w:color w:val="000000" w:themeColor="text1"/>
          <w:sz w:val="28"/>
          <w:szCs w:val="28"/>
        </w:rPr>
        <w:t>«</w:t>
      </w:r>
      <w:r w:rsidRPr="002B1F42">
        <w:rPr>
          <w:color w:val="000000" w:themeColor="text1"/>
          <w:sz w:val="28"/>
          <w:szCs w:val="28"/>
        </w:rPr>
        <w: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rsidRPr="002B1F42">
        <w:rPr>
          <w:b/>
          <w:color w:val="000000" w:themeColor="text1"/>
          <w:sz w:val="28"/>
          <w:szCs w:val="28"/>
        </w:rPr>
        <w:t>»</w:t>
      </w:r>
    </w:p>
    <w:p w14:paraId="0A72BF3C" w14:textId="77777777" w:rsidR="005B1E8B" w:rsidRPr="002B1F42" w:rsidRDefault="005B1E8B"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shd w:val="clear" w:color="auto" w:fill="FFFFFF"/>
        </w:rPr>
        <w:t>Приказ от 14 мая 2020 г. №21н «О Порядке казначейского обслуживания»</w:t>
      </w:r>
    </w:p>
    <w:p w14:paraId="6F1F21FB" w14:textId="77777777" w:rsidR="002B1F42" w:rsidRPr="002B1F42" w:rsidRDefault="002B1F42"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shd w:val="clear" w:color="auto" w:fill="FFFFFF"/>
        </w:rPr>
        <w:t>Приказ Федерального казначейства: от 18.12.2012 № 480 "Об осуществлении бюджетных полномочий главного администратора (администратора) доходов федерального бюджета Федеральным казначейством и бюджетных полномочий администратора доходов федерального бюджета территориальными органами Федерального казначейства и федеральным казенным учреждением "Центр по обеспечению деятельности Федерального казначейства" по главе 100 "Федеральное казначейство"</w:t>
      </w:r>
    </w:p>
    <w:p w14:paraId="18679B70" w14:textId="77777777" w:rsidR="002B1F42" w:rsidRPr="002B1F42" w:rsidRDefault="002B1F42"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shd w:val="clear" w:color="auto" w:fill="FFFFFF"/>
        </w:rPr>
        <w:t>Информация официального сайта Федерального казначейства: https://roskazna.gov.ru/o-kaznachejstve/funkcii-fk/672/21050/</w:t>
      </w:r>
    </w:p>
    <w:p w14:paraId="59C2D7E6" w14:textId="77777777" w:rsidR="0015175D" w:rsidRPr="002B1F42" w:rsidRDefault="0015175D"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shd w:val="clear" w:color="auto" w:fill="FFFFFF"/>
        </w:rPr>
        <w:t>Письмо Минфина России N 23-01-06/91705, Казначейства России N 07-04-05/05-21420 от 21.10.2020 «Об особенностях проверки обоснованности возврата госпошлины, не администрируемой налоговыми органами, а также порядка уплаты процентов за ее несвоевременный возврат»</w:t>
      </w:r>
    </w:p>
    <w:p w14:paraId="22E185F2" w14:textId="77777777" w:rsidR="00B877F2" w:rsidRPr="002B1F42" w:rsidRDefault="00B877F2"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shd w:val="clear" w:color="auto" w:fill="FFFFFF"/>
        </w:rPr>
        <w:t xml:space="preserve">Бутакова К. В., Самсонов Е. А. // Бюджетный учет и анализ поступления денежных средств в органах федерального казначейства (на примере счета № 40101 Управления Федерального казначейства по Иркутской области) </w:t>
      </w:r>
      <w:r w:rsidR="00A7212B" w:rsidRPr="002B1F42">
        <w:rPr>
          <w:color w:val="000000" w:themeColor="text1"/>
          <w:sz w:val="28"/>
          <w:szCs w:val="28"/>
          <w:shd w:val="clear" w:color="auto" w:fill="FFFFFF"/>
        </w:rPr>
        <w:t>// Н</w:t>
      </w:r>
      <w:r w:rsidRPr="002B1F42">
        <w:rPr>
          <w:color w:val="000000" w:themeColor="text1"/>
          <w:sz w:val="28"/>
          <w:szCs w:val="28"/>
          <w:shd w:val="clear" w:color="auto" w:fill="FFFFFF"/>
        </w:rPr>
        <w:t>аучная статья</w:t>
      </w:r>
      <w:r w:rsidR="00A7212B" w:rsidRPr="002B1F42">
        <w:rPr>
          <w:color w:val="000000" w:themeColor="text1"/>
          <w:sz w:val="28"/>
          <w:szCs w:val="28"/>
          <w:shd w:val="clear" w:color="auto" w:fill="FFFFFF"/>
        </w:rPr>
        <w:t>.</w:t>
      </w:r>
      <w:r w:rsidR="00C821FB" w:rsidRPr="002B1F42">
        <w:rPr>
          <w:color w:val="000000" w:themeColor="text1"/>
          <w:sz w:val="28"/>
          <w:szCs w:val="28"/>
          <w:shd w:val="clear" w:color="auto" w:fill="FFFFFF"/>
        </w:rPr>
        <w:t xml:space="preserve"> </w:t>
      </w:r>
      <w:r w:rsidR="00A7212B" w:rsidRPr="002B1F42">
        <w:rPr>
          <w:color w:val="000000" w:themeColor="text1"/>
          <w:sz w:val="28"/>
          <w:szCs w:val="28"/>
          <w:shd w:val="clear" w:color="auto" w:fill="FFFFFF"/>
        </w:rPr>
        <w:t>-</w:t>
      </w:r>
      <w:r w:rsidRPr="002B1F42">
        <w:rPr>
          <w:color w:val="000000" w:themeColor="text1"/>
          <w:sz w:val="28"/>
          <w:szCs w:val="28"/>
          <w:shd w:val="clear" w:color="auto" w:fill="FFFFFF"/>
        </w:rPr>
        <w:t xml:space="preserve"> </w:t>
      </w:r>
      <w:r w:rsidR="00C821FB" w:rsidRPr="002B1F42">
        <w:rPr>
          <w:color w:val="000000" w:themeColor="text1"/>
          <w:sz w:val="28"/>
          <w:szCs w:val="28"/>
          <w:shd w:val="clear" w:color="auto" w:fill="FFFFFF"/>
        </w:rPr>
        <w:t xml:space="preserve">№ </w:t>
      </w:r>
      <w:r w:rsidRPr="002B1F42">
        <w:rPr>
          <w:color w:val="000000" w:themeColor="text1"/>
          <w:sz w:val="28"/>
          <w:szCs w:val="28"/>
          <w:shd w:val="clear" w:color="auto" w:fill="FFFFFF"/>
        </w:rPr>
        <w:t>6</w:t>
      </w:r>
      <w:r w:rsidR="00C821FB" w:rsidRPr="002B1F42">
        <w:rPr>
          <w:color w:val="000000" w:themeColor="text1"/>
          <w:sz w:val="28"/>
          <w:szCs w:val="28"/>
          <w:shd w:val="clear" w:color="auto" w:fill="FFFFFF"/>
        </w:rPr>
        <w:t xml:space="preserve">. – </w:t>
      </w:r>
      <w:r w:rsidRPr="002B1F42">
        <w:rPr>
          <w:color w:val="000000" w:themeColor="text1"/>
          <w:sz w:val="28"/>
          <w:szCs w:val="28"/>
          <w:shd w:val="clear" w:color="auto" w:fill="FFFFFF"/>
        </w:rPr>
        <w:t>2020</w:t>
      </w:r>
      <w:r w:rsidR="00C821FB" w:rsidRPr="002B1F42">
        <w:rPr>
          <w:color w:val="000000" w:themeColor="text1"/>
          <w:sz w:val="28"/>
          <w:szCs w:val="28"/>
          <w:shd w:val="clear" w:color="auto" w:fill="FFFFFF"/>
        </w:rPr>
        <w:t xml:space="preserve"> г. – с.</w:t>
      </w:r>
      <w:r w:rsidRPr="002B1F42">
        <w:rPr>
          <w:color w:val="000000" w:themeColor="text1"/>
          <w:sz w:val="28"/>
          <w:szCs w:val="28"/>
          <w:shd w:val="clear" w:color="auto" w:fill="FFFFFF"/>
        </w:rPr>
        <w:t xml:space="preserve"> 166-171</w:t>
      </w:r>
    </w:p>
    <w:p w14:paraId="40DC6443" w14:textId="77777777" w:rsidR="00466849" w:rsidRPr="002B1F42" w:rsidRDefault="00466849"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rPr>
        <w:t>Официальный сайт Казначейства России</w:t>
      </w:r>
      <w:r w:rsidRPr="002B1F42">
        <w:rPr>
          <w:bCs/>
          <w:color w:val="000000" w:themeColor="text1"/>
          <w:kern w:val="36"/>
          <w:sz w:val="28"/>
          <w:szCs w:val="28"/>
        </w:rPr>
        <w:t xml:space="preserve"> </w:t>
      </w:r>
      <w:r w:rsidRPr="002B1F42">
        <w:rPr>
          <w:color w:val="000000" w:themeColor="text1"/>
          <w:sz w:val="28"/>
          <w:szCs w:val="28"/>
        </w:rPr>
        <w:t>[Электронный ресурс]. -</w:t>
      </w:r>
      <w:r w:rsidRPr="002B1F42">
        <w:rPr>
          <w:color w:val="000000" w:themeColor="text1"/>
          <w:sz w:val="28"/>
          <w:szCs w:val="28"/>
          <w:shd w:val="clear" w:color="auto" w:fill="FFFFFF"/>
        </w:rPr>
        <w:t xml:space="preserve"> </w:t>
      </w:r>
      <w:r w:rsidR="00FC4377" w:rsidRPr="002B1F42">
        <w:rPr>
          <w:color w:val="000000" w:themeColor="text1"/>
          <w:sz w:val="28"/>
          <w:szCs w:val="28"/>
          <w:shd w:val="clear" w:color="auto" w:fill="FFFFFF"/>
        </w:rPr>
        <w:t>URL: https://roskazna.gov.ru</w:t>
      </w:r>
    </w:p>
    <w:p w14:paraId="61FF45E4" w14:textId="77777777" w:rsidR="007A6AE7" w:rsidRPr="002B1F42" w:rsidRDefault="007A6AE7" w:rsidP="002B1F42">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shd w:val="clear" w:color="auto" w:fill="FFFFFF"/>
        </w:rPr>
        <w:t xml:space="preserve">Официальный сайт </w:t>
      </w:r>
      <w:r w:rsidRPr="002B1F42">
        <w:rPr>
          <w:rStyle w:val="ab"/>
          <w:b w:val="0"/>
          <w:bCs w:val="0"/>
          <w:color w:val="000000" w:themeColor="text1"/>
          <w:sz w:val="28"/>
          <w:szCs w:val="28"/>
        </w:rPr>
        <w:t>Межрегиональное операционное УФК</w:t>
      </w:r>
      <w:r w:rsidRPr="002B1F42">
        <w:rPr>
          <w:color w:val="000000" w:themeColor="text1"/>
          <w:sz w:val="28"/>
          <w:szCs w:val="28"/>
        </w:rPr>
        <w:br/>
        <w:t>[электронный ресурс]</w:t>
      </w:r>
      <w:r w:rsidRPr="002B1F42">
        <w:rPr>
          <w:color w:val="000000" w:themeColor="text1"/>
          <w:sz w:val="28"/>
          <w:szCs w:val="28"/>
          <w:shd w:val="clear" w:color="auto" w:fill="FFFFFF"/>
        </w:rPr>
        <w:t>://moufk.roskazna.gov</w:t>
      </w:r>
    </w:p>
    <w:p w14:paraId="192916B8" w14:textId="77777777" w:rsidR="003A667D" w:rsidRPr="00147834" w:rsidRDefault="00466849" w:rsidP="00147834">
      <w:pPr>
        <w:pStyle w:val="a5"/>
        <w:numPr>
          <w:ilvl w:val="0"/>
          <w:numId w:val="6"/>
        </w:numPr>
        <w:ind w:left="0" w:firstLine="567"/>
        <w:contextualSpacing w:val="0"/>
        <w:jc w:val="both"/>
        <w:rPr>
          <w:color w:val="000000" w:themeColor="text1"/>
          <w:sz w:val="28"/>
          <w:szCs w:val="28"/>
          <w:shd w:val="clear" w:color="auto" w:fill="FFFFFF"/>
        </w:rPr>
      </w:pPr>
      <w:r w:rsidRPr="002B1F42">
        <w:rPr>
          <w:color w:val="000000" w:themeColor="text1"/>
          <w:sz w:val="28"/>
          <w:szCs w:val="28"/>
        </w:rPr>
        <w:t xml:space="preserve">Справочно-правовая система по законодательству России - [Электронный ресурс] – Режим доступа: </w:t>
      </w:r>
      <w:hyperlink r:id="rId12" w:history="1">
        <w:r w:rsidRPr="002B1F42">
          <w:rPr>
            <w:rStyle w:val="a4"/>
            <w:color w:val="000000" w:themeColor="text1"/>
            <w:sz w:val="28"/>
            <w:szCs w:val="28"/>
            <w:u w:val="none"/>
          </w:rPr>
          <w:t>www.consultant.ru</w:t>
        </w:r>
      </w:hyperlink>
    </w:p>
    <w:sectPr w:rsidR="003A667D" w:rsidRPr="00147834" w:rsidSect="00F244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6E33"/>
    <w:multiLevelType w:val="hybridMultilevel"/>
    <w:tmpl w:val="3B4A03FA"/>
    <w:lvl w:ilvl="0" w:tplc="99CE0196">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7B3D39"/>
    <w:multiLevelType w:val="hybridMultilevel"/>
    <w:tmpl w:val="E342F8D4"/>
    <w:lvl w:ilvl="0" w:tplc="2DD6AEB4">
      <w:start w:val="1"/>
      <w:numFmt w:val="bullet"/>
      <w:lvlText w:val=""/>
      <w:lvlJc w:val="left"/>
      <w:pPr>
        <w:tabs>
          <w:tab w:val="num" w:pos="1714"/>
        </w:tabs>
        <w:ind w:left="1714" w:hanging="360"/>
      </w:pPr>
      <w:rPr>
        <w:rFonts w:ascii="Symbol" w:hAnsi="Symbol" w:hint="default"/>
        <w:color w:val="auto"/>
        <w:sz w:val="20"/>
      </w:rPr>
    </w:lvl>
    <w:lvl w:ilvl="1" w:tplc="04190003" w:tentative="1">
      <w:start w:val="1"/>
      <w:numFmt w:val="bullet"/>
      <w:lvlText w:val="o"/>
      <w:lvlJc w:val="left"/>
      <w:pPr>
        <w:tabs>
          <w:tab w:val="num" w:pos="2074"/>
        </w:tabs>
        <w:ind w:left="2074" w:hanging="360"/>
      </w:pPr>
      <w:rPr>
        <w:rFonts w:ascii="Courier New" w:hAnsi="Courier New" w:hint="default"/>
      </w:rPr>
    </w:lvl>
    <w:lvl w:ilvl="2" w:tplc="04190005" w:tentative="1">
      <w:start w:val="1"/>
      <w:numFmt w:val="bullet"/>
      <w:lvlText w:val=""/>
      <w:lvlJc w:val="left"/>
      <w:pPr>
        <w:tabs>
          <w:tab w:val="num" w:pos="2794"/>
        </w:tabs>
        <w:ind w:left="2794" w:hanging="360"/>
      </w:pPr>
      <w:rPr>
        <w:rFonts w:ascii="Wingdings" w:hAnsi="Wingdings" w:hint="default"/>
      </w:rPr>
    </w:lvl>
    <w:lvl w:ilvl="3" w:tplc="04190001" w:tentative="1">
      <w:start w:val="1"/>
      <w:numFmt w:val="bullet"/>
      <w:lvlText w:val=""/>
      <w:lvlJc w:val="left"/>
      <w:pPr>
        <w:tabs>
          <w:tab w:val="num" w:pos="3514"/>
        </w:tabs>
        <w:ind w:left="3514" w:hanging="360"/>
      </w:pPr>
      <w:rPr>
        <w:rFonts w:ascii="Symbol" w:hAnsi="Symbol" w:hint="default"/>
      </w:rPr>
    </w:lvl>
    <w:lvl w:ilvl="4" w:tplc="04190003" w:tentative="1">
      <w:start w:val="1"/>
      <w:numFmt w:val="bullet"/>
      <w:lvlText w:val="o"/>
      <w:lvlJc w:val="left"/>
      <w:pPr>
        <w:tabs>
          <w:tab w:val="num" w:pos="4234"/>
        </w:tabs>
        <w:ind w:left="4234" w:hanging="360"/>
      </w:pPr>
      <w:rPr>
        <w:rFonts w:ascii="Courier New" w:hAnsi="Courier New" w:hint="default"/>
      </w:rPr>
    </w:lvl>
    <w:lvl w:ilvl="5" w:tplc="04190005" w:tentative="1">
      <w:start w:val="1"/>
      <w:numFmt w:val="bullet"/>
      <w:lvlText w:val=""/>
      <w:lvlJc w:val="left"/>
      <w:pPr>
        <w:tabs>
          <w:tab w:val="num" w:pos="4954"/>
        </w:tabs>
        <w:ind w:left="4954" w:hanging="360"/>
      </w:pPr>
      <w:rPr>
        <w:rFonts w:ascii="Wingdings" w:hAnsi="Wingdings" w:hint="default"/>
      </w:rPr>
    </w:lvl>
    <w:lvl w:ilvl="6" w:tplc="04190001" w:tentative="1">
      <w:start w:val="1"/>
      <w:numFmt w:val="bullet"/>
      <w:lvlText w:val=""/>
      <w:lvlJc w:val="left"/>
      <w:pPr>
        <w:tabs>
          <w:tab w:val="num" w:pos="5674"/>
        </w:tabs>
        <w:ind w:left="5674" w:hanging="360"/>
      </w:pPr>
      <w:rPr>
        <w:rFonts w:ascii="Symbol" w:hAnsi="Symbol" w:hint="default"/>
      </w:rPr>
    </w:lvl>
    <w:lvl w:ilvl="7" w:tplc="04190003" w:tentative="1">
      <w:start w:val="1"/>
      <w:numFmt w:val="bullet"/>
      <w:lvlText w:val="o"/>
      <w:lvlJc w:val="left"/>
      <w:pPr>
        <w:tabs>
          <w:tab w:val="num" w:pos="6394"/>
        </w:tabs>
        <w:ind w:left="6394" w:hanging="360"/>
      </w:pPr>
      <w:rPr>
        <w:rFonts w:ascii="Courier New" w:hAnsi="Courier New" w:hint="default"/>
      </w:rPr>
    </w:lvl>
    <w:lvl w:ilvl="8" w:tplc="04190005" w:tentative="1">
      <w:start w:val="1"/>
      <w:numFmt w:val="bullet"/>
      <w:lvlText w:val=""/>
      <w:lvlJc w:val="left"/>
      <w:pPr>
        <w:tabs>
          <w:tab w:val="num" w:pos="7114"/>
        </w:tabs>
        <w:ind w:left="7114" w:hanging="360"/>
      </w:pPr>
      <w:rPr>
        <w:rFonts w:ascii="Wingdings" w:hAnsi="Wingdings" w:hint="default"/>
      </w:rPr>
    </w:lvl>
  </w:abstractNum>
  <w:abstractNum w:abstractNumId="2" w15:restartNumberingAfterBreak="0">
    <w:nsid w:val="08920066"/>
    <w:multiLevelType w:val="hybridMultilevel"/>
    <w:tmpl w:val="069CD6CA"/>
    <w:lvl w:ilvl="0" w:tplc="0AA235A6">
      <w:start w:val="1"/>
      <w:numFmt w:val="bullet"/>
      <w:lvlText w:val="-"/>
      <w:lvlJc w:val="left"/>
      <w:pPr>
        <w:tabs>
          <w:tab w:val="num" w:pos="1440"/>
        </w:tabs>
        <w:ind w:left="1440" w:hanging="360"/>
      </w:pPr>
      <w:rPr>
        <w:rFonts w:ascii="Shruti" w:hAnsi="Shruti" w:hint="default"/>
        <w:b/>
        <w:i w:val="0"/>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A733DD"/>
    <w:multiLevelType w:val="hybridMultilevel"/>
    <w:tmpl w:val="94F28712"/>
    <w:lvl w:ilvl="0" w:tplc="BC06D8B4">
      <w:start w:val="1"/>
      <w:numFmt w:val="decimal"/>
      <w:lvlText w:val="%1)"/>
      <w:lvlJc w:val="left"/>
      <w:pPr>
        <w:tabs>
          <w:tab w:val="num" w:pos="2552"/>
        </w:tabs>
        <w:ind w:left="2552"/>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87045EA"/>
    <w:multiLevelType w:val="multilevel"/>
    <w:tmpl w:val="B952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4630C3"/>
    <w:multiLevelType w:val="hybridMultilevel"/>
    <w:tmpl w:val="3B4A03FA"/>
    <w:lvl w:ilvl="0" w:tplc="99CE0196">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FFB4FCE"/>
    <w:multiLevelType w:val="hybridMultilevel"/>
    <w:tmpl w:val="A4828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F7"/>
    <w:rsid w:val="00001B8E"/>
    <w:rsid w:val="00012C8C"/>
    <w:rsid w:val="00020680"/>
    <w:rsid w:val="0002610D"/>
    <w:rsid w:val="000316BA"/>
    <w:rsid w:val="000375A7"/>
    <w:rsid w:val="000536D1"/>
    <w:rsid w:val="00056531"/>
    <w:rsid w:val="00061EF0"/>
    <w:rsid w:val="00082344"/>
    <w:rsid w:val="0009736D"/>
    <w:rsid w:val="000A3D2F"/>
    <w:rsid w:val="000A6414"/>
    <w:rsid w:val="000B1D72"/>
    <w:rsid w:val="000C3688"/>
    <w:rsid w:val="000D0749"/>
    <w:rsid w:val="000D3188"/>
    <w:rsid w:val="000F1304"/>
    <w:rsid w:val="000F5EB9"/>
    <w:rsid w:val="00111FFE"/>
    <w:rsid w:val="0011214E"/>
    <w:rsid w:val="00114608"/>
    <w:rsid w:val="00147834"/>
    <w:rsid w:val="0015175D"/>
    <w:rsid w:val="00152546"/>
    <w:rsid w:val="00172071"/>
    <w:rsid w:val="00191CB3"/>
    <w:rsid w:val="001A27B4"/>
    <w:rsid w:val="001B047B"/>
    <w:rsid w:val="001C3289"/>
    <w:rsid w:val="001D2EA8"/>
    <w:rsid w:val="001D74E9"/>
    <w:rsid w:val="001E3C09"/>
    <w:rsid w:val="001E710A"/>
    <w:rsid w:val="001F51D5"/>
    <w:rsid w:val="00251D4D"/>
    <w:rsid w:val="00253D0A"/>
    <w:rsid w:val="00261B91"/>
    <w:rsid w:val="00262F5A"/>
    <w:rsid w:val="002827AE"/>
    <w:rsid w:val="0028524F"/>
    <w:rsid w:val="00290E55"/>
    <w:rsid w:val="002A0514"/>
    <w:rsid w:val="002A7CA1"/>
    <w:rsid w:val="002B1F42"/>
    <w:rsid w:val="002B4F77"/>
    <w:rsid w:val="002D4F83"/>
    <w:rsid w:val="002D6357"/>
    <w:rsid w:val="002F0624"/>
    <w:rsid w:val="003122FF"/>
    <w:rsid w:val="00313B66"/>
    <w:rsid w:val="00313D2F"/>
    <w:rsid w:val="00313DBC"/>
    <w:rsid w:val="0032788A"/>
    <w:rsid w:val="00352F18"/>
    <w:rsid w:val="00363B05"/>
    <w:rsid w:val="00374A2C"/>
    <w:rsid w:val="00382BBF"/>
    <w:rsid w:val="003906E6"/>
    <w:rsid w:val="00394FF7"/>
    <w:rsid w:val="003978CA"/>
    <w:rsid w:val="003A024C"/>
    <w:rsid w:val="003A0483"/>
    <w:rsid w:val="003A667D"/>
    <w:rsid w:val="003E2A78"/>
    <w:rsid w:val="003F17AE"/>
    <w:rsid w:val="0041483F"/>
    <w:rsid w:val="0042332E"/>
    <w:rsid w:val="00425A6B"/>
    <w:rsid w:val="00431E94"/>
    <w:rsid w:val="00443AE5"/>
    <w:rsid w:val="00446779"/>
    <w:rsid w:val="0045024B"/>
    <w:rsid w:val="00452DE3"/>
    <w:rsid w:val="004603EA"/>
    <w:rsid w:val="004635F5"/>
    <w:rsid w:val="00466849"/>
    <w:rsid w:val="0048152D"/>
    <w:rsid w:val="00485797"/>
    <w:rsid w:val="004912C5"/>
    <w:rsid w:val="0049799E"/>
    <w:rsid w:val="004B09A1"/>
    <w:rsid w:val="004B663E"/>
    <w:rsid w:val="004C62D2"/>
    <w:rsid w:val="004F0135"/>
    <w:rsid w:val="005170C9"/>
    <w:rsid w:val="005311D0"/>
    <w:rsid w:val="005320D1"/>
    <w:rsid w:val="005434C7"/>
    <w:rsid w:val="00565299"/>
    <w:rsid w:val="00572216"/>
    <w:rsid w:val="00594622"/>
    <w:rsid w:val="005A181F"/>
    <w:rsid w:val="005B1E8B"/>
    <w:rsid w:val="005B5E0B"/>
    <w:rsid w:val="005B690C"/>
    <w:rsid w:val="005C0F5B"/>
    <w:rsid w:val="005C513E"/>
    <w:rsid w:val="005F2D27"/>
    <w:rsid w:val="00600C06"/>
    <w:rsid w:val="0060467C"/>
    <w:rsid w:val="0062611A"/>
    <w:rsid w:val="00644E02"/>
    <w:rsid w:val="00652B49"/>
    <w:rsid w:val="00654085"/>
    <w:rsid w:val="00672854"/>
    <w:rsid w:val="0067496F"/>
    <w:rsid w:val="006807F9"/>
    <w:rsid w:val="00683F70"/>
    <w:rsid w:val="00692172"/>
    <w:rsid w:val="006A4570"/>
    <w:rsid w:val="006A603A"/>
    <w:rsid w:val="006A68E3"/>
    <w:rsid w:val="006B76F6"/>
    <w:rsid w:val="006C41C8"/>
    <w:rsid w:val="006C7472"/>
    <w:rsid w:val="006D0037"/>
    <w:rsid w:val="006D178D"/>
    <w:rsid w:val="006D7EB5"/>
    <w:rsid w:val="00705697"/>
    <w:rsid w:val="00710CC2"/>
    <w:rsid w:val="007112F6"/>
    <w:rsid w:val="00712861"/>
    <w:rsid w:val="00714F8A"/>
    <w:rsid w:val="00715D43"/>
    <w:rsid w:val="007177A5"/>
    <w:rsid w:val="00721B96"/>
    <w:rsid w:val="00755C49"/>
    <w:rsid w:val="007639D4"/>
    <w:rsid w:val="0078037A"/>
    <w:rsid w:val="00781256"/>
    <w:rsid w:val="00784CA2"/>
    <w:rsid w:val="00786C52"/>
    <w:rsid w:val="007A6AE7"/>
    <w:rsid w:val="007B78A0"/>
    <w:rsid w:val="007D0496"/>
    <w:rsid w:val="007D04B9"/>
    <w:rsid w:val="007E48FC"/>
    <w:rsid w:val="00822363"/>
    <w:rsid w:val="00822FB0"/>
    <w:rsid w:val="00833FD2"/>
    <w:rsid w:val="00850A44"/>
    <w:rsid w:val="00881E79"/>
    <w:rsid w:val="00892A3B"/>
    <w:rsid w:val="00893B37"/>
    <w:rsid w:val="00894187"/>
    <w:rsid w:val="008B0656"/>
    <w:rsid w:val="008B41F3"/>
    <w:rsid w:val="008E1F91"/>
    <w:rsid w:val="008E7075"/>
    <w:rsid w:val="008F2E1B"/>
    <w:rsid w:val="00920B9A"/>
    <w:rsid w:val="00921C35"/>
    <w:rsid w:val="009440EB"/>
    <w:rsid w:val="00950306"/>
    <w:rsid w:val="00966066"/>
    <w:rsid w:val="00987E8F"/>
    <w:rsid w:val="009A0C92"/>
    <w:rsid w:val="009C1B4F"/>
    <w:rsid w:val="009D4D7C"/>
    <w:rsid w:val="009D6E58"/>
    <w:rsid w:val="009E4051"/>
    <w:rsid w:val="009F6FA4"/>
    <w:rsid w:val="00A01AFE"/>
    <w:rsid w:val="00A12082"/>
    <w:rsid w:val="00A120A9"/>
    <w:rsid w:val="00A3269E"/>
    <w:rsid w:val="00A431DB"/>
    <w:rsid w:val="00A43221"/>
    <w:rsid w:val="00A53DC3"/>
    <w:rsid w:val="00A56DA0"/>
    <w:rsid w:val="00A7212B"/>
    <w:rsid w:val="00A81BB6"/>
    <w:rsid w:val="00AA1D83"/>
    <w:rsid w:val="00AA6579"/>
    <w:rsid w:val="00AB7726"/>
    <w:rsid w:val="00AC566E"/>
    <w:rsid w:val="00AD5186"/>
    <w:rsid w:val="00AD6E72"/>
    <w:rsid w:val="00AE2628"/>
    <w:rsid w:val="00AE37C7"/>
    <w:rsid w:val="00AE4AB3"/>
    <w:rsid w:val="00AE5BA4"/>
    <w:rsid w:val="00AF52D1"/>
    <w:rsid w:val="00B01C77"/>
    <w:rsid w:val="00B047E2"/>
    <w:rsid w:val="00B238E6"/>
    <w:rsid w:val="00B453D4"/>
    <w:rsid w:val="00B55E81"/>
    <w:rsid w:val="00B60C7F"/>
    <w:rsid w:val="00B855C0"/>
    <w:rsid w:val="00B877F2"/>
    <w:rsid w:val="00B90273"/>
    <w:rsid w:val="00B9176E"/>
    <w:rsid w:val="00BA744C"/>
    <w:rsid w:val="00BF12E4"/>
    <w:rsid w:val="00BF7DF3"/>
    <w:rsid w:val="00C019D7"/>
    <w:rsid w:val="00C140FB"/>
    <w:rsid w:val="00C32A36"/>
    <w:rsid w:val="00C436E6"/>
    <w:rsid w:val="00C43709"/>
    <w:rsid w:val="00C716E6"/>
    <w:rsid w:val="00C821FB"/>
    <w:rsid w:val="00CA04FF"/>
    <w:rsid w:val="00CC35F7"/>
    <w:rsid w:val="00CD4EC5"/>
    <w:rsid w:val="00CE6B0F"/>
    <w:rsid w:val="00CF4EB6"/>
    <w:rsid w:val="00D01A1E"/>
    <w:rsid w:val="00D16EDA"/>
    <w:rsid w:val="00D236FA"/>
    <w:rsid w:val="00D36333"/>
    <w:rsid w:val="00D558F2"/>
    <w:rsid w:val="00D6350D"/>
    <w:rsid w:val="00D6526C"/>
    <w:rsid w:val="00D67135"/>
    <w:rsid w:val="00D733AA"/>
    <w:rsid w:val="00D9254E"/>
    <w:rsid w:val="00D96442"/>
    <w:rsid w:val="00DA6FF6"/>
    <w:rsid w:val="00DB321B"/>
    <w:rsid w:val="00DD3076"/>
    <w:rsid w:val="00DD51A9"/>
    <w:rsid w:val="00DE319B"/>
    <w:rsid w:val="00DE6EB1"/>
    <w:rsid w:val="00DF0D54"/>
    <w:rsid w:val="00DF6F08"/>
    <w:rsid w:val="00E03077"/>
    <w:rsid w:val="00E1068C"/>
    <w:rsid w:val="00E22FF3"/>
    <w:rsid w:val="00E275EC"/>
    <w:rsid w:val="00E334E3"/>
    <w:rsid w:val="00E612B5"/>
    <w:rsid w:val="00E66146"/>
    <w:rsid w:val="00E67F14"/>
    <w:rsid w:val="00E828E8"/>
    <w:rsid w:val="00E842A5"/>
    <w:rsid w:val="00EA3D3C"/>
    <w:rsid w:val="00EB3184"/>
    <w:rsid w:val="00EB5D68"/>
    <w:rsid w:val="00EC2C3C"/>
    <w:rsid w:val="00EF23FB"/>
    <w:rsid w:val="00F1373F"/>
    <w:rsid w:val="00F21DC4"/>
    <w:rsid w:val="00F244D3"/>
    <w:rsid w:val="00F40474"/>
    <w:rsid w:val="00F40792"/>
    <w:rsid w:val="00F96444"/>
    <w:rsid w:val="00FA22A9"/>
    <w:rsid w:val="00FB2F9C"/>
    <w:rsid w:val="00FC4377"/>
    <w:rsid w:val="00FC4A0E"/>
    <w:rsid w:val="00FE0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F70B"/>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C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2E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87E8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1256"/>
    <w:pPr>
      <w:spacing w:before="100" w:beforeAutospacing="1" w:after="100" w:afterAutospacing="1"/>
    </w:pPr>
  </w:style>
  <w:style w:type="character" w:styleId="a4">
    <w:name w:val="Hyperlink"/>
    <w:basedOn w:val="a0"/>
    <w:uiPriority w:val="99"/>
    <w:unhideWhenUsed/>
    <w:rsid w:val="00781256"/>
    <w:rPr>
      <w:color w:val="0000FF"/>
      <w:u w:val="single"/>
    </w:rPr>
  </w:style>
  <w:style w:type="character" w:customStyle="1" w:styleId="20">
    <w:name w:val="Заголовок 2 Знак"/>
    <w:basedOn w:val="a0"/>
    <w:link w:val="2"/>
    <w:uiPriority w:val="9"/>
    <w:rsid w:val="00987E8F"/>
    <w:rPr>
      <w:rFonts w:ascii="Times New Roman" w:eastAsia="Times New Roman" w:hAnsi="Times New Roman" w:cs="Times New Roman"/>
      <w:b/>
      <w:bCs/>
      <w:sz w:val="36"/>
      <w:szCs w:val="36"/>
      <w:lang w:eastAsia="ru-RU"/>
    </w:rPr>
  </w:style>
  <w:style w:type="paragraph" w:styleId="a5">
    <w:name w:val="List Paragraph"/>
    <w:basedOn w:val="a"/>
    <w:uiPriority w:val="34"/>
    <w:qFormat/>
    <w:rsid w:val="002A7CA1"/>
    <w:pPr>
      <w:ind w:left="720"/>
      <w:contextualSpacing/>
    </w:pPr>
  </w:style>
  <w:style w:type="table" w:styleId="a6">
    <w:name w:val="Table Grid"/>
    <w:basedOn w:val="a1"/>
    <w:uiPriority w:val="39"/>
    <w:rsid w:val="0035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187101">
    <w:name w:val="ft187101"/>
    <w:basedOn w:val="a"/>
    <w:rsid w:val="00714F8A"/>
    <w:pPr>
      <w:spacing w:before="100" w:beforeAutospacing="1" w:after="100" w:afterAutospacing="1"/>
    </w:pPr>
  </w:style>
  <w:style w:type="paragraph" w:customStyle="1" w:styleId="ft187102">
    <w:name w:val="ft187102"/>
    <w:basedOn w:val="a"/>
    <w:rsid w:val="00714F8A"/>
    <w:pPr>
      <w:spacing w:before="100" w:beforeAutospacing="1" w:after="100" w:afterAutospacing="1"/>
    </w:pPr>
  </w:style>
  <w:style w:type="paragraph" w:customStyle="1" w:styleId="ft187103">
    <w:name w:val="ft187103"/>
    <w:basedOn w:val="a"/>
    <w:rsid w:val="00714F8A"/>
    <w:pPr>
      <w:spacing w:before="100" w:beforeAutospacing="1" w:after="100" w:afterAutospacing="1"/>
    </w:pPr>
  </w:style>
  <w:style w:type="paragraph" w:customStyle="1" w:styleId="ft187104">
    <w:name w:val="ft187104"/>
    <w:basedOn w:val="a"/>
    <w:rsid w:val="00714F8A"/>
    <w:pPr>
      <w:spacing w:before="100" w:beforeAutospacing="1" w:after="100" w:afterAutospacing="1"/>
    </w:pPr>
  </w:style>
  <w:style w:type="paragraph" w:customStyle="1" w:styleId="ft187200">
    <w:name w:val="ft187200"/>
    <w:basedOn w:val="a"/>
    <w:rsid w:val="00714F8A"/>
    <w:pPr>
      <w:spacing w:before="100" w:beforeAutospacing="1" w:after="100" w:afterAutospacing="1"/>
    </w:pPr>
  </w:style>
  <w:style w:type="paragraph" w:customStyle="1" w:styleId="ft187201">
    <w:name w:val="ft187201"/>
    <w:basedOn w:val="a"/>
    <w:rsid w:val="00714F8A"/>
    <w:pPr>
      <w:spacing w:before="100" w:beforeAutospacing="1" w:after="100" w:afterAutospacing="1"/>
    </w:pPr>
  </w:style>
  <w:style w:type="paragraph" w:styleId="a7">
    <w:name w:val="Body Text"/>
    <w:basedOn w:val="a"/>
    <w:link w:val="a8"/>
    <w:uiPriority w:val="99"/>
    <w:unhideWhenUsed/>
    <w:rsid w:val="004635F5"/>
    <w:pPr>
      <w:spacing w:after="120" w:line="25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4635F5"/>
  </w:style>
  <w:style w:type="paragraph" w:styleId="a9">
    <w:name w:val="Balloon Text"/>
    <w:basedOn w:val="a"/>
    <w:link w:val="aa"/>
    <w:uiPriority w:val="99"/>
    <w:semiHidden/>
    <w:unhideWhenUsed/>
    <w:rsid w:val="00001B8E"/>
    <w:rPr>
      <w:rFonts w:ascii="Tahoma" w:hAnsi="Tahoma" w:cs="Tahoma"/>
      <w:sz w:val="16"/>
      <w:szCs w:val="16"/>
    </w:rPr>
  </w:style>
  <w:style w:type="character" w:customStyle="1" w:styleId="aa">
    <w:name w:val="Текст выноски Знак"/>
    <w:basedOn w:val="a0"/>
    <w:link w:val="a9"/>
    <w:uiPriority w:val="99"/>
    <w:semiHidden/>
    <w:rsid w:val="00001B8E"/>
    <w:rPr>
      <w:rFonts w:ascii="Tahoma" w:eastAsia="Times New Roman" w:hAnsi="Tahoma" w:cs="Tahoma"/>
      <w:sz w:val="16"/>
      <w:szCs w:val="16"/>
      <w:lang w:eastAsia="ru-RU"/>
    </w:rPr>
  </w:style>
  <w:style w:type="paragraph" w:customStyle="1" w:styleId="pboth">
    <w:name w:val="pboth"/>
    <w:basedOn w:val="a"/>
    <w:rsid w:val="00B01C77"/>
    <w:pPr>
      <w:spacing w:before="100" w:beforeAutospacing="1" w:after="100" w:afterAutospacing="1"/>
    </w:pPr>
  </w:style>
  <w:style w:type="character" w:customStyle="1" w:styleId="blk">
    <w:name w:val="blk"/>
    <w:basedOn w:val="a0"/>
    <w:rsid w:val="000316BA"/>
  </w:style>
  <w:style w:type="character" w:customStyle="1" w:styleId="10">
    <w:name w:val="Заголовок 1 Знак"/>
    <w:basedOn w:val="a0"/>
    <w:link w:val="1"/>
    <w:uiPriority w:val="99"/>
    <w:rsid w:val="001D2EA8"/>
    <w:rPr>
      <w:rFonts w:asciiTheme="majorHAnsi" w:eastAsiaTheme="majorEastAsia" w:hAnsiTheme="majorHAnsi" w:cstheme="majorBidi"/>
      <w:color w:val="2E74B5" w:themeColor="accent1" w:themeShade="BF"/>
      <w:sz w:val="32"/>
      <w:szCs w:val="32"/>
      <w:lang w:eastAsia="ru-RU"/>
    </w:rPr>
  </w:style>
  <w:style w:type="character" w:styleId="ab">
    <w:name w:val="Strong"/>
    <w:basedOn w:val="a0"/>
    <w:uiPriority w:val="22"/>
    <w:qFormat/>
    <w:rsid w:val="007A6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013483">
      <w:bodyDiv w:val="1"/>
      <w:marLeft w:val="0"/>
      <w:marRight w:val="0"/>
      <w:marTop w:val="0"/>
      <w:marBottom w:val="0"/>
      <w:divBdr>
        <w:top w:val="none" w:sz="0" w:space="0" w:color="auto"/>
        <w:left w:val="none" w:sz="0" w:space="0" w:color="auto"/>
        <w:bottom w:val="none" w:sz="0" w:space="0" w:color="auto"/>
        <w:right w:val="none" w:sz="0" w:space="0" w:color="auto"/>
      </w:divBdr>
    </w:div>
    <w:div w:id="609820214">
      <w:bodyDiv w:val="1"/>
      <w:marLeft w:val="0"/>
      <w:marRight w:val="0"/>
      <w:marTop w:val="0"/>
      <w:marBottom w:val="0"/>
      <w:divBdr>
        <w:top w:val="none" w:sz="0" w:space="0" w:color="auto"/>
        <w:left w:val="none" w:sz="0" w:space="0" w:color="auto"/>
        <w:bottom w:val="none" w:sz="0" w:space="0" w:color="auto"/>
        <w:right w:val="none" w:sz="0" w:space="0" w:color="auto"/>
      </w:divBdr>
    </w:div>
    <w:div w:id="1149521234">
      <w:bodyDiv w:val="1"/>
      <w:marLeft w:val="0"/>
      <w:marRight w:val="0"/>
      <w:marTop w:val="0"/>
      <w:marBottom w:val="0"/>
      <w:divBdr>
        <w:top w:val="none" w:sz="0" w:space="0" w:color="auto"/>
        <w:left w:val="none" w:sz="0" w:space="0" w:color="auto"/>
        <w:bottom w:val="none" w:sz="0" w:space="0" w:color="auto"/>
        <w:right w:val="none" w:sz="0" w:space="0" w:color="auto"/>
      </w:divBdr>
    </w:div>
    <w:div w:id="1209995355">
      <w:bodyDiv w:val="1"/>
      <w:marLeft w:val="0"/>
      <w:marRight w:val="0"/>
      <w:marTop w:val="0"/>
      <w:marBottom w:val="0"/>
      <w:divBdr>
        <w:top w:val="none" w:sz="0" w:space="0" w:color="auto"/>
        <w:left w:val="none" w:sz="0" w:space="0" w:color="auto"/>
        <w:bottom w:val="none" w:sz="0" w:space="0" w:color="auto"/>
        <w:right w:val="none" w:sz="0" w:space="0" w:color="auto"/>
      </w:divBdr>
    </w:div>
    <w:div w:id="1347172386">
      <w:bodyDiv w:val="1"/>
      <w:marLeft w:val="0"/>
      <w:marRight w:val="0"/>
      <w:marTop w:val="0"/>
      <w:marBottom w:val="0"/>
      <w:divBdr>
        <w:top w:val="none" w:sz="0" w:space="0" w:color="auto"/>
        <w:left w:val="none" w:sz="0" w:space="0" w:color="auto"/>
        <w:bottom w:val="none" w:sz="0" w:space="0" w:color="auto"/>
        <w:right w:val="none" w:sz="0" w:space="0" w:color="auto"/>
      </w:divBdr>
    </w:div>
    <w:div w:id="1442259445">
      <w:bodyDiv w:val="1"/>
      <w:marLeft w:val="0"/>
      <w:marRight w:val="0"/>
      <w:marTop w:val="0"/>
      <w:marBottom w:val="0"/>
      <w:divBdr>
        <w:top w:val="none" w:sz="0" w:space="0" w:color="auto"/>
        <w:left w:val="none" w:sz="0" w:space="0" w:color="auto"/>
        <w:bottom w:val="none" w:sz="0" w:space="0" w:color="auto"/>
        <w:right w:val="none" w:sz="0" w:space="0" w:color="auto"/>
      </w:divBdr>
    </w:div>
    <w:div w:id="1578974661">
      <w:bodyDiv w:val="1"/>
      <w:marLeft w:val="0"/>
      <w:marRight w:val="0"/>
      <w:marTop w:val="0"/>
      <w:marBottom w:val="0"/>
      <w:divBdr>
        <w:top w:val="none" w:sz="0" w:space="0" w:color="auto"/>
        <w:left w:val="none" w:sz="0" w:space="0" w:color="auto"/>
        <w:bottom w:val="none" w:sz="0" w:space="0" w:color="auto"/>
        <w:right w:val="none" w:sz="0" w:space="0" w:color="auto"/>
      </w:divBdr>
    </w:div>
    <w:div w:id="1609505178">
      <w:bodyDiv w:val="1"/>
      <w:marLeft w:val="0"/>
      <w:marRight w:val="0"/>
      <w:marTop w:val="0"/>
      <w:marBottom w:val="0"/>
      <w:divBdr>
        <w:top w:val="none" w:sz="0" w:space="0" w:color="auto"/>
        <w:left w:val="none" w:sz="0" w:space="0" w:color="auto"/>
        <w:bottom w:val="none" w:sz="0" w:space="0" w:color="auto"/>
        <w:right w:val="none" w:sz="0" w:space="0" w:color="auto"/>
      </w:divBdr>
    </w:div>
    <w:div w:id="1614828548">
      <w:bodyDiv w:val="1"/>
      <w:marLeft w:val="0"/>
      <w:marRight w:val="0"/>
      <w:marTop w:val="0"/>
      <w:marBottom w:val="0"/>
      <w:divBdr>
        <w:top w:val="none" w:sz="0" w:space="0" w:color="auto"/>
        <w:left w:val="none" w:sz="0" w:space="0" w:color="auto"/>
        <w:bottom w:val="none" w:sz="0" w:space="0" w:color="auto"/>
        <w:right w:val="none" w:sz="0" w:space="0" w:color="auto"/>
      </w:divBdr>
    </w:div>
    <w:div w:id="1636982917">
      <w:bodyDiv w:val="1"/>
      <w:marLeft w:val="0"/>
      <w:marRight w:val="0"/>
      <w:marTop w:val="0"/>
      <w:marBottom w:val="0"/>
      <w:divBdr>
        <w:top w:val="none" w:sz="0" w:space="0" w:color="auto"/>
        <w:left w:val="none" w:sz="0" w:space="0" w:color="auto"/>
        <w:bottom w:val="none" w:sz="0" w:space="0" w:color="auto"/>
        <w:right w:val="none" w:sz="0" w:space="0" w:color="auto"/>
      </w:divBdr>
    </w:div>
    <w:div w:id="1650598947">
      <w:bodyDiv w:val="1"/>
      <w:marLeft w:val="0"/>
      <w:marRight w:val="0"/>
      <w:marTop w:val="0"/>
      <w:marBottom w:val="0"/>
      <w:divBdr>
        <w:top w:val="none" w:sz="0" w:space="0" w:color="auto"/>
        <w:left w:val="none" w:sz="0" w:space="0" w:color="auto"/>
        <w:bottom w:val="none" w:sz="0" w:space="0" w:color="auto"/>
        <w:right w:val="none" w:sz="0" w:space="0" w:color="auto"/>
      </w:divBdr>
    </w:div>
    <w:div w:id="1866409276">
      <w:bodyDiv w:val="1"/>
      <w:marLeft w:val="0"/>
      <w:marRight w:val="0"/>
      <w:marTop w:val="0"/>
      <w:marBottom w:val="0"/>
      <w:divBdr>
        <w:top w:val="none" w:sz="0" w:space="0" w:color="auto"/>
        <w:left w:val="none" w:sz="0" w:space="0" w:color="auto"/>
        <w:bottom w:val="none" w:sz="0" w:space="0" w:color="auto"/>
        <w:right w:val="none" w:sz="0" w:space="0" w:color="auto"/>
      </w:divBdr>
    </w:div>
    <w:div w:id="1871604494">
      <w:bodyDiv w:val="1"/>
      <w:marLeft w:val="0"/>
      <w:marRight w:val="0"/>
      <w:marTop w:val="0"/>
      <w:marBottom w:val="0"/>
      <w:divBdr>
        <w:top w:val="none" w:sz="0" w:space="0" w:color="auto"/>
        <w:left w:val="none" w:sz="0" w:space="0" w:color="auto"/>
        <w:bottom w:val="none" w:sz="0" w:space="0" w:color="auto"/>
        <w:right w:val="none" w:sz="0" w:space="0" w:color="auto"/>
      </w:divBdr>
    </w:div>
    <w:div w:id="1932201612">
      <w:bodyDiv w:val="1"/>
      <w:marLeft w:val="0"/>
      <w:marRight w:val="0"/>
      <w:marTop w:val="0"/>
      <w:marBottom w:val="0"/>
      <w:divBdr>
        <w:top w:val="none" w:sz="0" w:space="0" w:color="auto"/>
        <w:left w:val="none" w:sz="0" w:space="0" w:color="auto"/>
        <w:bottom w:val="none" w:sz="0" w:space="0" w:color="auto"/>
        <w:right w:val="none" w:sz="0" w:space="0" w:color="auto"/>
      </w:divBdr>
    </w:div>
    <w:div w:id="1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24210225">
          <w:marLeft w:val="0"/>
          <w:marRight w:val="0"/>
          <w:marTop w:val="0"/>
          <w:marBottom w:val="0"/>
          <w:divBdr>
            <w:top w:val="none" w:sz="0" w:space="0" w:color="auto"/>
            <w:left w:val="none" w:sz="0" w:space="0" w:color="auto"/>
            <w:bottom w:val="none" w:sz="0" w:space="0" w:color="auto"/>
            <w:right w:val="none" w:sz="0" w:space="0" w:color="auto"/>
          </w:divBdr>
        </w:div>
        <w:div w:id="1836607822">
          <w:marLeft w:val="0"/>
          <w:marRight w:val="0"/>
          <w:marTop w:val="0"/>
          <w:marBottom w:val="0"/>
          <w:divBdr>
            <w:top w:val="none" w:sz="0" w:space="0" w:color="auto"/>
            <w:left w:val="none" w:sz="0" w:space="0" w:color="auto"/>
            <w:bottom w:val="none" w:sz="0" w:space="0" w:color="auto"/>
            <w:right w:val="none" w:sz="0" w:space="0" w:color="auto"/>
          </w:divBdr>
        </w:div>
      </w:divsChild>
    </w:div>
    <w:div w:id="2102019288">
      <w:bodyDiv w:val="1"/>
      <w:marLeft w:val="0"/>
      <w:marRight w:val="0"/>
      <w:marTop w:val="0"/>
      <w:marBottom w:val="0"/>
      <w:divBdr>
        <w:top w:val="none" w:sz="0" w:space="0" w:color="auto"/>
        <w:left w:val="none" w:sz="0" w:space="0" w:color="auto"/>
        <w:bottom w:val="none" w:sz="0" w:space="0" w:color="auto"/>
        <w:right w:val="none" w:sz="0" w:space="0" w:color="auto"/>
      </w:divBdr>
    </w:div>
    <w:div w:id="21054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takovaksenia97@mail.ru" TargetMode="External"/><Relationship Id="rId12" Type="http://schemas.openxmlformats.org/officeDocument/2006/relationships/hyperlink" Target="http://www.consult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sonov-ea@mail.ru"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89;&#1090;&#1072;&#1090;&#1100;&#1103;%203\&#1041;&#1091;&#1082;&#1083;&#1077;&#1090;%202020\&#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u-RU" sz="1400" b="0">
                <a:solidFill>
                  <a:schemeClr val="tx1"/>
                </a:solidFill>
                <a:latin typeface="Times New Roman" panose="02020603050405020304" pitchFamily="18" charset="0"/>
                <a:cs typeface="Times New Roman" panose="02020603050405020304" pitchFamily="18" charset="0"/>
              </a:rPr>
              <a:t>Суммы возвратов в бюджеты (млн. руб.)</a:t>
            </a:r>
          </a:p>
        </c:rich>
      </c:tx>
      <c:overlay val="0"/>
      <c:spPr>
        <a:noFill/>
        <a:ln>
          <a:noFill/>
        </a:ln>
        <a:effectLst/>
      </c:spPr>
    </c:title>
    <c:autoTitleDeleted val="0"/>
    <c:plotArea>
      <c:layout/>
      <c:barChart>
        <c:barDir val="col"/>
        <c:grouping val="clustered"/>
        <c:varyColors val="0"/>
        <c:ser>
          <c:idx val="0"/>
          <c:order val="0"/>
          <c:tx>
            <c:strRef>
              <c:f>Лист1!$C$5</c:f>
              <c:strCache>
                <c:ptCount val="1"/>
                <c:pt idx="0">
                  <c:v>Федеральный бюджет</c:v>
                </c:pt>
              </c:strCache>
            </c:strRef>
          </c:tx>
          <c:spPr>
            <a:solidFill>
              <a:schemeClr val="accent1">
                <a:lumMod val="75000"/>
              </a:schemeClr>
            </a:solidFill>
            <a:ln>
              <a:noFill/>
            </a:ln>
            <a:effectLst/>
          </c:spPr>
          <c:invertIfNegative val="0"/>
          <c:dLbls>
            <c:dLbl>
              <c:idx val="1"/>
              <c:layout>
                <c:manualLayout>
                  <c:x val="-2.5403277022735932E-3"/>
                  <c:y val="1.65380374862183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78-4C3C-A124-F350EC29C8CF}"/>
                </c:ext>
              </c:extLst>
            </c:dLbl>
            <c:dLbl>
              <c:idx val="2"/>
              <c:layout>
                <c:manualLayout>
                  <c:x val="-4.6572136536387122E-17"/>
                  <c:y val="1.28629180448364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78-4C3C-A124-F350EC29C8CF}"/>
                </c:ext>
              </c:extLst>
            </c:dLbl>
            <c:dLbl>
              <c:idx val="4"/>
              <c:layout>
                <c:manualLayout>
                  <c:x val="0"/>
                  <c:y val="9.1877986034546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78-4C3C-A124-F350EC29C8C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Лист1!$B$6:$B$11</c:f>
              <c:numCache>
                <c:formatCode>General</c:formatCode>
                <c:ptCount val="6"/>
                <c:pt idx="1">
                  <c:v>2018</c:v>
                </c:pt>
                <c:pt idx="2">
                  <c:v>2019</c:v>
                </c:pt>
                <c:pt idx="4">
                  <c:v>2020</c:v>
                </c:pt>
              </c:numCache>
            </c:numRef>
          </c:cat>
          <c:val>
            <c:numRef>
              <c:f>Лист1!$C$6:$C$11</c:f>
              <c:numCache>
                <c:formatCode>#,##0.00</c:formatCode>
                <c:ptCount val="6"/>
                <c:pt idx="1">
                  <c:v>22449.03</c:v>
                </c:pt>
                <c:pt idx="2">
                  <c:v>30113.59</c:v>
                </c:pt>
                <c:pt idx="4">
                  <c:v>28283.77</c:v>
                </c:pt>
              </c:numCache>
            </c:numRef>
          </c:val>
          <c:extLst>
            <c:ext xmlns:c16="http://schemas.microsoft.com/office/drawing/2014/chart" uri="{C3380CC4-5D6E-409C-BE32-E72D297353CC}">
              <c16:uniqueId val="{00000000-AC78-4C3C-A124-F350EC29C8CF}"/>
            </c:ext>
          </c:extLst>
        </c:ser>
        <c:ser>
          <c:idx val="1"/>
          <c:order val="1"/>
          <c:tx>
            <c:strRef>
              <c:f>Лист1!$D$5</c:f>
              <c:strCache>
                <c:ptCount val="1"/>
                <c:pt idx="0">
                  <c:v>КБ субъектов РФ</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solidFill>
                <a:schemeClr val="accent2">
                  <a:lumMod val="75000"/>
                </a:schemeClr>
              </a:solidFill>
            </a:ln>
            <a:effectLst/>
          </c:spPr>
          <c:invertIfNegative val="0"/>
          <c:dLbls>
            <c:dLbl>
              <c:idx val="1"/>
              <c:layout>
                <c:manualLayout>
                  <c:x val="5.0806554045471864E-3"/>
                  <c:y val="2.02131569276000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78-4C3C-A124-F350EC29C8CF}"/>
                </c:ext>
              </c:extLst>
            </c:dLbl>
            <c:dLbl>
              <c:idx val="2"/>
              <c:layout>
                <c:manualLayout>
                  <c:x val="3.5564587831830308E-2"/>
                  <c:y val="-1.83755972069092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78-4C3C-A124-F350EC29C8CF}"/>
                </c:ext>
              </c:extLst>
            </c:dLbl>
            <c:dLbl>
              <c:idx val="4"/>
              <c:layout>
                <c:manualLayout>
                  <c:x val="2.5403277022735839E-2"/>
                  <c:y val="1.65380374862183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78-4C3C-A124-F350EC29C8C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Лист1!$B$6:$B$11</c:f>
              <c:numCache>
                <c:formatCode>General</c:formatCode>
                <c:ptCount val="6"/>
                <c:pt idx="1">
                  <c:v>2018</c:v>
                </c:pt>
                <c:pt idx="2">
                  <c:v>2019</c:v>
                </c:pt>
                <c:pt idx="4">
                  <c:v>2020</c:v>
                </c:pt>
              </c:numCache>
            </c:numRef>
          </c:cat>
          <c:val>
            <c:numRef>
              <c:f>Лист1!$D$6:$D$11</c:f>
              <c:numCache>
                <c:formatCode>#,##0.00</c:formatCode>
                <c:ptCount val="6"/>
                <c:pt idx="1">
                  <c:v>7239.38</c:v>
                </c:pt>
                <c:pt idx="2">
                  <c:v>7189.68</c:v>
                </c:pt>
                <c:pt idx="4">
                  <c:v>8681.67</c:v>
                </c:pt>
              </c:numCache>
            </c:numRef>
          </c:val>
          <c:extLst>
            <c:ext xmlns:c16="http://schemas.microsoft.com/office/drawing/2014/chart" uri="{C3380CC4-5D6E-409C-BE32-E72D297353CC}">
              <c16:uniqueId val="{00000001-AC78-4C3C-A124-F350EC29C8CF}"/>
            </c:ext>
          </c:extLst>
        </c:ser>
        <c:dLbls>
          <c:dLblPos val="inEnd"/>
          <c:showLegendKey val="0"/>
          <c:showVal val="1"/>
          <c:showCatName val="0"/>
          <c:showSerName val="0"/>
          <c:showPercent val="0"/>
          <c:showBubbleSize val="0"/>
        </c:dLbls>
        <c:gapWidth val="355"/>
        <c:overlap val="-70"/>
        <c:axId val="150148608"/>
        <c:axId val="150150144"/>
      </c:barChart>
      <c:catAx>
        <c:axId val="15014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0150144"/>
        <c:crosses val="autoZero"/>
        <c:auto val="1"/>
        <c:lblAlgn val="ctr"/>
        <c:lblOffset val="100"/>
        <c:noMultiLvlLbl val="0"/>
      </c:catAx>
      <c:valAx>
        <c:axId val="1501501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0148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Структура</a:t>
            </a:r>
            <a:r>
              <a:rPr lang="ru-RU" baseline="0"/>
              <a:t> возвратов по видам бюджетов</a:t>
            </a:r>
            <a:endParaRPr lang="ru-RU"/>
          </a:p>
        </c:rich>
      </c:tx>
      <c:overlay val="0"/>
      <c:spPr>
        <a:noFill/>
        <a:ln>
          <a:noFill/>
        </a:ln>
        <a:effectLst/>
      </c:spPr>
    </c:title>
    <c:autoTitleDeleted val="0"/>
    <c:plotArea>
      <c:layout>
        <c:manualLayout>
          <c:layoutTarget val="inner"/>
          <c:xMode val="edge"/>
          <c:yMode val="edge"/>
          <c:x val="8.4504432181803854E-2"/>
          <c:y val="0.19910693988054642"/>
          <c:w val="0.54830477955381829"/>
          <c:h val="0.75517830202327074"/>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96-439D-ABC9-501FB8BCE180}"/>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96-439D-ABC9-501FB8BCE180}"/>
              </c:ext>
            </c:extLst>
          </c:dPt>
          <c:dPt>
            <c:idx val="2"/>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96-439D-ABC9-501FB8BCE180}"/>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096-439D-ABC9-501FB8BCE18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Лист2!$D$9:$G$9</c:f>
              <c:strCache>
                <c:ptCount val="4"/>
                <c:pt idx="0">
                  <c:v>Федеральный бюджет</c:v>
                </c:pt>
                <c:pt idx="1">
                  <c:v>Пенсионный фонд</c:v>
                </c:pt>
                <c:pt idx="2">
                  <c:v>Фонд социального страхования</c:v>
                </c:pt>
                <c:pt idx="3">
                  <c:v>КБ субъектов РФ</c:v>
                </c:pt>
              </c:strCache>
            </c:strRef>
          </c:cat>
          <c:val>
            <c:numRef>
              <c:f>Лист2!$D$10:$G$10</c:f>
              <c:numCache>
                <c:formatCode>General</c:formatCode>
                <c:ptCount val="4"/>
              </c:numCache>
            </c:numRef>
          </c:val>
          <c:extLst>
            <c:ext xmlns:c16="http://schemas.microsoft.com/office/drawing/2014/chart" uri="{C3380CC4-5D6E-409C-BE32-E72D297353CC}">
              <c16:uniqueId val="{00000008-5096-439D-ABC9-501FB8BCE180}"/>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5096-439D-ABC9-501FB8BCE18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5096-439D-ABC9-501FB8BCE180}"/>
              </c:ext>
            </c:extLst>
          </c:dPt>
          <c:dPt>
            <c:idx val="2"/>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5096-439D-ABC9-501FB8BCE180}"/>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5096-439D-ABC9-501FB8BCE180}"/>
              </c:ext>
            </c:extLst>
          </c:dPt>
          <c:dLbls>
            <c:dLbl>
              <c:idx val="0"/>
              <c:layout>
                <c:manualLayout>
                  <c:x val="-1.5024027189551204E-3"/>
                  <c:y val="-1.5964773596213858E-2"/>
                </c:manualLayout>
              </c:layout>
              <c:tx>
                <c:rich>
                  <a:bodyPr/>
                  <a:lstStyle/>
                  <a:p>
                    <a:r>
                      <a:rPr lang="ru-RU"/>
                      <a:t>65%</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5096-439D-ABC9-501FB8BCE180}"/>
                </c:ext>
              </c:extLst>
            </c:dLbl>
            <c:dLbl>
              <c:idx val="1"/>
              <c:layout>
                <c:manualLayout>
                  <c:x val="-7.4101519081141168E-2"/>
                  <c:y val="2.3947315905009054E-2"/>
                </c:manualLayout>
              </c:layout>
              <c:tx>
                <c:rich>
                  <a:bodyPr/>
                  <a:lstStyle/>
                  <a:p>
                    <a:r>
                      <a:rPr lang="ru-RU"/>
                      <a:t>5%</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5096-439D-ABC9-501FB8BCE180}"/>
                </c:ext>
              </c:extLst>
            </c:dLbl>
            <c:dLbl>
              <c:idx val="2"/>
              <c:layout>
                <c:manualLayout>
                  <c:x val="-6.1751265900950966E-2"/>
                  <c:y val="-7.5833167032528515E-2"/>
                </c:manualLayout>
              </c:layout>
              <c:tx>
                <c:rich>
                  <a:bodyPr/>
                  <a:lstStyle/>
                  <a:p>
                    <a:r>
                      <a:rPr lang="ru-RU"/>
                      <a:t>13%</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5096-439D-ABC9-501FB8BCE180}"/>
                </c:ext>
              </c:extLst>
            </c:dLbl>
            <c:dLbl>
              <c:idx val="3"/>
              <c:layout>
                <c:manualLayout>
                  <c:x val="1.1910433539780848E-2"/>
                  <c:y val="-1.6404199475065617E-2"/>
                </c:manualLayout>
              </c:layout>
              <c:tx>
                <c:rich>
                  <a:bodyPr/>
                  <a:lstStyle/>
                  <a:p>
                    <a:r>
                      <a:rPr lang="ru-RU"/>
                      <a:t>18%</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0-5096-439D-ABC9-501FB8BCE18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Лист2!$D$9:$G$9</c:f>
              <c:strCache>
                <c:ptCount val="4"/>
                <c:pt idx="0">
                  <c:v>Федеральный бюджет</c:v>
                </c:pt>
                <c:pt idx="1">
                  <c:v>Пенсионный фонд</c:v>
                </c:pt>
                <c:pt idx="2">
                  <c:v>Фонд социального страхования</c:v>
                </c:pt>
                <c:pt idx="3">
                  <c:v>КБ субъектов РФ</c:v>
                </c:pt>
              </c:strCache>
            </c:strRef>
          </c:cat>
          <c:val>
            <c:numRef>
              <c:f>Лист2!$D$11:$G$11</c:f>
              <c:numCache>
                <c:formatCode>General</c:formatCode>
                <c:ptCount val="4"/>
                <c:pt idx="0">
                  <c:v>73.400000000000006</c:v>
                </c:pt>
                <c:pt idx="1">
                  <c:v>0.4</c:v>
                </c:pt>
                <c:pt idx="2">
                  <c:v>3.6</c:v>
                </c:pt>
                <c:pt idx="3">
                  <c:v>22.5</c:v>
                </c:pt>
              </c:numCache>
            </c:numRef>
          </c:val>
          <c:extLst>
            <c:ext xmlns:c16="http://schemas.microsoft.com/office/drawing/2014/chart" uri="{C3380CC4-5D6E-409C-BE32-E72D297353CC}">
              <c16:uniqueId val="{00000011-5096-439D-ABC9-501FB8BCE18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799868363104884"/>
          <c:y val="0.2159019984706636"/>
          <c:w val="0.33725024076968868"/>
          <c:h val="0.755667328001322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i="0" u="none" strike="noStrike" baseline="0">
                <a:effectLst/>
                <a:latin typeface="Times New Roman" pitchFamily="18" charset="0"/>
                <a:cs typeface="Times New Roman" pitchFamily="18" charset="0"/>
              </a:rPr>
              <a:t>Количество отклоненных Заявок на возврат</a:t>
            </a:r>
            <a:endParaRPr lang="ru-RU" sz="14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8464012222045575E-2"/>
          <c:y val="0.22994592951713011"/>
          <c:w val="0.57932069566652278"/>
          <c:h val="0.67804572833517474"/>
        </c:manualLayout>
      </c:layout>
      <c:pie3DChart>
        <c:varyColors val="1"/>
        <c:ser>
          <c:idx val="0"/>
          <c:order val="0"/>
          <c:dPt>
            <c:idx val="0"/>
            <c:bubble3D val="0"/>
            <c:spPr>
              <a:solidFill>
                <a:schemeClr val="accent6">
                  <a:lumMod val="75000"/>
                </a:schemeClr>
              </a:solidFill>
            </c:spPr>
            <c:extLst>
              <c:ext xmlns:c16="http://schemas.microsoft.com/office/drawing/2014/chart" uri="{C3380CC4-5D6E-409C-BE32-E72D297353CC}">
                <c16:uniqueId val="{00000001-2126-46EB-8A9B-A7437B287CB5}"/>
              </c:ext>
            </c:extLst>
          </c:dPt>
          <c:dPt>
            <c:idx val="1"/>
            <c:bubble3D val="0"/>
            <c:spPr>
              <a:solidFill>
                <a:schemeClr val="accent1">
                  <a:lumMod val="60000"/>
                  <a:lumOff val="40000"/>
                </a:schemeClr>
              </a:solidFill>
            </c:spPr>
            <c:extLst>
              <c:ext xmlns:c16="http://schemas.microsoft.com/office/drawing/2014/chart" uri="{C3380CC4-5D6E-409C-BE32-E72D297353CC}">
                <c16:uniqueId val="{00000003-2126-46EB-8A9B-A7437B287CB5}"/>
              </c:ext>
            </c:extLst>
          </c:dPt>
          <c:dLbls>
            <c:dLbl>
              <c:idx val="0"/>
              <c:tx>
                <c:rich>
                  <a:bodyPr/>
                  <a:lstStyle/>
                  <a:p>
                    <a:r>
                      <a:rPr lang="en-US" sz="1200">
                        <a:solidFill>
                          <a:schemeClr val="tx1"/>
                        </a:solidFill>
                        <a:latin typeface="Times New Roman" pitchFamily="18" charset="0"/>
                        <a:cs typeface="Times New Roman" pitchFamily="18" charset="0"/>
                      </a:rPr>
                      <a:t>1000</a:t>
                    </a:r>
                    <a:endParaRPr lang="en-US"/>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126-46EB-8A9B-A7437B287CB5}"/>
                </c:ext>
              </c:extLst>
            </c:dLbl>
            <c:dLbl>
              <c:idx val="1"/>
              <c:tx>
                <c:rich>
                  <a:bodyPr/>
                  <a:lstStyle/>
                  <a:p>
                    <a:r>
                      <a:rPr lang="en-US" sz="1200">
                        <a:solidFill>
                          <a:schemeClr val="tx1"/>
                        </a:solidFill>
                        <a:latin typeface="Times New Roman" pitchFamily="18" charset="0"/>
                        <a:cs typeface="Times New Roman" pitchFamily="18" charset="0"/>
                      </a:rPr>
                      <a:t>5 300</a:t>
                    </a:r>
                    <a:endParaRPr lang="en-US"/>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126-46EB-8A9B-A7437B287CB5}"/>
                </c:ext>
              </c:extLst>
            </c:dLbl>
            <c:spPr>
              <a:noFill/>
              <a:ln>
                <a:noFill/>
              </a:ln>
              <a:effectLst/>
            </c:spPr>
            <c:txPr>
              <a:bodyPr/>
              <a:lstStyle/>
              <a:p>
                <a:pPr>
                  <a:defRPr sz="1200">
                    <a:solidFill>
                      <a:schemeClr val="tx1"/>
                    </a:solidFill>
                    <a:latin typeface="Times New Roman" pitchFamily="18" charset="0"/>
                    <a:cs typeface="Times New Roman" pitchFamily="18" charset="0"/>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Лист1!$C$2:$C$3</c:f>
              <c:strCache>
                <c:ptCount val="2"/>
                <c:pt idx="0">
                  <c:v>По Запросу на аннулирование</c:v>
                </c:pt>
                <c:pt idx="1">
                  <c:v>При непрохождении контроля</c:v>
                </c:pt>
              </c:strCache>
            </c:strRef>
          </c:cat>
          <c:val>
            <c:numRef>
              <c:f>Лист1!$D$2:$D$3</c:f>
              <c:numCache>
                <c:formatCode>#,##0</c:formatCode>
                <c:ptCount val="2"/>
                <c:pt idx="0" formatCode="General">
                  <c:v>1000</c:v>
                </c:pt>
                <c:pt idx="1">
                  <c:v>5300</c:v>
                </c:pt>
              </c:numCache>
            </c:numRef>
          </c:val>
          <c:extLst>
            <c:ext xmlns:c16="http://schemas.microsoft.com/office/drawing/2014/chart" uri="{C3380CC4-5D6E-409C-BE32-E72D297353CC}">
              <c16:uniqueId val="{00000004-2126-46EB-8A9B-A7437B287CB5}"/>
            </c:ext>
          </c:extLst>
        </c:ser>
        <c:dLbls>
          <c:showLegendKey val="0"/>
          <c:showVal val="0"/>
          <c:showCatName val="0"/>
          <c:showSerName val="0"/>
          <c:showPercent val="1"/>
          <c:showBubbleSize val="0"/>
          <c:showLeaderLines val="1"/>
        </c:dLbls>
      </c:pie3DChart>
    </c:plotArea>
    <c:legend>
      <c:legendPos val="r"/>
      <c:layout>
        <c:manualLayout>
          <c:xMode val="edge"/>
          <c:yMode val="edge"/>
          <c:x val="0.66752911936657466"/>
          <c:y val="0.23701612985758136"/>
          <c:w val="0.31757340852215132"/>
          <c:h val="0.6065280981787345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solidFill>
      <a:schemeClr val="accent3">
        <a:lumMod val="20000"/>
        <a:lumOff val="80000"/>
      </a:schemeClr>
    </a:solidFill>
    <a:ln>
      <a:solidFill>
        <a:schemeClr val="tx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A243-5FDA-40CF-A98F-E0CCCF85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3113</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Сольская Ирина Юрьевна</cp:lastModifiedBy>
  <cp:revision>2</cp:revision>
  <dcterms:created xsi:type="dcterms:W3CDTF">2021-04-07T07:04:00Z</dcterms:created>
  <dcterms:modified xsi:type="dcterms:W3CDTF">2021-04-07T07:04:00Z</dcterms:modified>
</cp:coreProperties>
</file>